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05A9C3" w14:textId="77777777" w:rsidR="00366002" w:rsidRDefault="00366002">
      <w:pPr>
        <w:pStyle w:val="Nzov"/>
        <w:pBdr>
          <w:top w:val="none" w:sz="0" w:space="0" w:color="auto"/>
          <w:left w:val="none" w:sz="0" w:space="0" w:color="auto"/>
          <w:bottom w:val="none" w:sz="0" w:space="0" w:color="auto"/>
          <w:right w:val="none" w:sz="0" w:space="0" w:color="auto"/>
        </w:pBdr>
        <w:shd w:val="clear" w:color="auto" w:fill="auto"/>
        <w:rPr>
          <w:rFonts w:ascii="Calibri" w:hAnsi="Calibri" w:cs="Arial"/>
          <w:w w:val="150"/>
          <w:sz w:val="22"/>
          <w:szCs w:val="22"/>
        </w:rPr>
      </w:pPr>
    </w:p>
    <w:p w14:paraId="124E7EF3" w14:textId="77777777" w:rsidR="002217E3" w:rsidRPr="00366002" w:rsidRDefault="002217E3">
      <w:pPr>
        <w:pStyle w:val="Nzov"/>
        <w:pBdr>
          <w:top w:val="none" w:sz="0" w:space="0" w:color="auto"/>
          <w:left w:val="none" w:sz="0" w:space="0" w:color="auto"/>
          <w:bottom w:val="none" w:sz="0" w:space="0" w:color="auto"/>
          <w:right w:val="none" w:sz="0" w:space="0" w:color="auto"/>
        </w:pBdr>
        <w:shd w:val="clear" w:color="auto" w:fill="auto"/>
        <w:rPr>
          <w:rFonts w:ascii="Calibri" w:hAnsi="Calibri" w:cs="Arial"/>
          <w:w w:val="150"/>
          <w:sz w:val="22"/>
          <w:szCs w:val="22"/>
        </w:rPr>
      </w:pPr>
      <w:r w:rsidRPr="00366002">
        <w:rPr>
          <w:rFonts w:ascii="Calibri" w:hAnsi="Calibri" w:cs="Arial"/>
          <w:w w:val="150"/>
          <w:sz w:val="22"/>
          <w:szCs w:val="22"/>
        </w:rPr>
        <w:t xml:space="preserve"> </w:t>
      </w:r>
    </w:p>
    <w:p w14:paraId="6868F356" w14:textId="77777777" w:rsidR="002217E3" w:rsidRPr="00366002" w:rsidRDefault="002217E3">
      <w:pPr>
        <w:pStyle w:val="Nzov"/>
        <w:pBdr>
          <w:top w:val="none" w:sz="0" w:space="0" w:color="auto"/>
          <w:left w:val="none" w:sz="0" w:space="0" w:color="auto"/>
          <w:bottom w:val="none" w:sz="0" w:space="0" w:color="auto"/>
          <w:right w:val="none" w:sz="0" w:space="0" w:color="auto"/>
        </w:pBdr>
        <w:rPr>
          <w:rFonts w:ascii="Calibri" w:hAnsi="Calibri" w:cs="Arial"/>
          <w:w w:val="150"/>
          <w:szCs w:val="28"/>
        </w:rPr>
      </w:pPr>
      <w:r w:rsidRPr="00366002">
        <w:rPr>
          <w:rFonts w:ascii="Calibri" w:hAnsi="Calibri" w:cs="Arial"/>
          <w:w w:val="150"/>
          <w:szCs w:val="28"/>
        </w:rPr>
        <w:t>1. T E C H N I C K Á    S P R Á V A</w:t>
      </w:r>
    </w:p>
    <w:p w14:paraId="1D4C19E3" w14:textId="77777777" w:rsidR="002217E3" w:rsidRPr="00366002" w:rsidRDefault="002217E3">
      <w:pPr>
        <w:spacing w:line="360" w:lineRule="auto"/>
        <w:jc w:val="center"/>
        <w:rPr>
          <w:rFonts w:ascii="Calibri" w:hAnsi="Calibri" w:cs="Arial"/>
          <w:b/>
          <w:sz w:val="22"/>
          <w:szCs w:val="22"/>
        </w:rPr>
      </w:pPr>
    </w:p>
    <w:p w14:paraId="0B89E5AC" w14:textId="77777777" w:rsidR="002217E3" w:rsidRPr="00366002" w:rsidRDefault="002217E3" w:rsidP="007D5FD9">
      <w:pPr>
        <w:spacing w:line="360" w:lineRule="auto"/>
        <w:rPr>
          <w:rFonts w:ascii="Calibri" w:hAnsi="Calibri" w:cs="Arial"/>
          <w:b/>
          <w:sz w:val="22"/>
          <w:szCs w:val="22"/>
        </w:rPr>
      </w:pPr>
    </w:p>
    <w:p w14:paraId="443CA08C" w14:textId="77777777" w:rsidR="00CD441D" w:rsidRPr="00CD441D" w:rsidRDefault="002217E3" w:rsidP="00CD441D">
      <w:pPr>
        <w:numPr>
          <w:ilvl w:val="0"/>
          <w:numId w:val="14"/>
        </w:numPr>
        <w:spacing w:line="360" w:lineRule="auto"/>
        <w:rPr>
          <w:rFonts w:ascii="Calibri" w:hAnsi="Calibri" w:cs="Arial"/>
          <w:b/>
          <w:sz w:val="28"/>
          <w:szCs w:val="28"/>
          <w:u w:val="single"/>
        </w:rPr>
      </w:pPr>
      <w:r w:rsidRPr="00366002">
        <w:rPr>
          <w:rFonts w:ascii="Calibri" w:hAnsi="Calibri" w:cs="Arial"/>
          <w:b/>
          <w:sz w:val="28"/>
          <w:szCs w:val="28"/>
          <w:u w:val="single"/>
        </w:rPr>
        <w:t>ZÁKLADNÉ ÚDAJE:</w:t>
      </w:r>
    </w:p>
    <w:p w14:paraId="64E7E303" w14:textId="77777777" w:rsidR="00CD441D" w:rsidRDefault="00CD441D" w:rsidP="00BC0A31">
      <w:pPr>
        <w:spacing w:line="360" w:lineRule="auto"/>
        <w:rPr>
          <w:rFonts w:ascii="Calibri" w:hAnsi="Calibri" w:cs="Arial"/>
          <w:sz w:val="22"/>
          <w:szCs w:val="22"/>
          <w:u w:val="single"/>
        </w:rPr>
      </w:pPr>
    </w:p>
    <w:p w14:paraId="04A6C9CF" w14:textId="0B145934" w:rsidR="006F77AE" w:rsidRDefault="0030633E" w:rsidP="00563B56">
      <w:pPr>
        <w:spacing w:line="360" w:lineRule="auto"/>
        <w:ind w:left="1416" w:hanging="1416"/>
        <w:outlineLvl w:val="0"/>
        <w:rPr>
          <w:rFonts w:ascii="Calibri" w:hAnsi="Calibri" w:cs="Arial"/>
          <w:b/>
          <w:sz w:val="32"/>
          <w:szCs w:val="32"/>
        </w:rPr>
      </w:pPr>
      <w:r w:rsidRPr="007B7D3A">
        <w:rPr>
          <w:rFonts w:ascii="Calibri" w:hAnsi="Calibri" w:cs="Arial"/>
          <w:u w:val="single"/>
        </w:rPr>
        <w:t>Stavba</w:t>
      </w:r>
      <w:r w:rsidRPr="007B7D3A">
        <w:rPr>
          <w:rFonts w:ascii="Calibri" w:hAnsi="Calibri" w:cs="Arial"/>
        </w:rPr>
        <w:t xml:space="preserve">: </w:t>
      </w:r>
      <w:r w:rsidRPr="007B7D3A">
        <w:rPr>
          <w:rFonts w:ascii="Calibri" w:hAnsi="Calibri" w:cs="Arial"/>
        </w:rPr>
        <w:tab/>
      </w:r>
      <w:r w:rsidR="006F77AE">
        <w:rPr>
          <w:rFonts w:ascii="Calibri" w:hAnsi="Calibri" w:cs="Arial"/>
        </w:rPr>
        <w:t xml:space="preserve">      </w:t>
      </w:r>
      <w:r w:rsidR="006F77AE">
        <w:rPr>
          <w:rFonts w:ascii="Calibri" w:hAnsi="Calibri" w:cs="Arial"/>
          <w:b/>
          <w:sz w:val="32"/>
          <w:szCs w:val="32"/>
        </w:rPr>
        <w:t>CHP Vyšné Nemecké</w:t>
      </w:r>
    </w:p>
    <w:p w14:paraId="373F3639" w14:textId="10B36A5F" w:rsidR="000A346A" w:rsidRPr="006F77AE" w:rsidRDefault="006F77AE" w:rsidP="00563B56">
      <w:pPr>
        <w:spacing w:line="360" w:lineRule="auto"/>
        <w:ind w:left="1416" w:hanging="1416"/>
        <w:outlineLvl w:val="0"/>
        <w:rPr>
          <w:rFonts w:ascii="Calibri" w:hAnsi="Calibri" w:cs="Arial"/>
          <w:b/>
          <w:bCs/>
          <w:sz w:val="32"/>
          <w:szCs w:val="32"/>
        </w:rPr>
      </w:pPr>
      <w:r>
        <w:rPr>
          <w:rFonts w:ascii="Calibri" w:hAnsi="Calibri" w:cs="Arial"/>
        </w:rPr>
        <w:tab/>
        <w:t xml:space="preserve">      </w:t>
      </w:r>
      <w:r w:rsidRPr="006F77AE">
        <w:rPr>
          <w:rFonts w:ascii="Calibri" w:hAnsi="Calibri" w:cs="Arial"/>
          <w:b/>
          <w:bCs/>
          <w:sz w:val="32"/>
          <w:szCs w:val="32"/>
        </w:rPr>
        <w:t>OD</w:t>
      </w:r>
      <w:r>
        <w:rPr>
          <w:rFonts w:ascii="Calibri" w:hAnsi="Calibri" w:cs="Arial"/>
          <w:b/>
          <w:bCs/>
          <w:sz w:val="32"/>
          <w:szCs w:val="32"/>
        </w:rPr>
        <w:t xml:space="preserve"> – Rozšírenie pracoviska</w:t>
      </w:r>
      <w:r w:rsidR="00950D46">
        <w:rPr>
          <w:rFonts w:ascii="Calibri" w:hAnsi="Calibri" w:cs="Arial"/>
          <w:b/>
          <w:bCs/>
          <w:sz w:val="32"/>
          <w:szCs w:val="32"/>
        </w:rPr>
        <w:t xml:space="preserve"> – aktualizácia PD</w:t>
      </w:r>
      <w:r w:rsidR="008D0206" w:rsidRPr="006F77AE">
        <w:rPr>
          <w:rFonts w:ascii="Calibri" w:hAnsi="Calibri" w:cs="Arial"/>
          <w:b/>
          <w:bCs/>
          <w:sz w:val="32"/>
          <w:szCs w:val="32"/>
        </w:rPr>
        <w:t xml:space="preserve"> </w:t>
      </w:r>
      <w:r w:rsidR="009E1E64" w:rsidRPr="006F77AE">
        <w:rPr>
          <w:rFonts w:ascii="Calibri" w:hAnsi="Calibri" w:cs="Arial"/>
          <w:b/>
          <w:bCs/>
          <w:sz w:val="32"/>
          <w:szCs w:val="32"/>
        </w:rPr>
        <w:t xml:space="preserve"> </w:t>
      </w:r>
      <w:r w:rsidR="00D52331" w:rsidRPr="006F77AE">
        <w:rPr>
          <w:rFonts w:ascii="Calibri" w:hAnsi="Calibri" w:cs="Arial"/>
          <w:b/>
          <w:bCs/>
          <w:sz w:val="32"/>
          <w:szCs w:val="32"/>
        </w:rPr>
        <w:t xml:space="preserve"> </w:t>
      </w:r>
    </w:p>
    <w:p w14:paraId="70C08EC0" w14:textId="576BA4F0" w:rsidR="0025603C" w:rsidRPr="006F77AE" w:rsidRDefault="003C0146" w:rsidP="00446B08">
      <w:pPr>
        <w:spacing w:line="360" w:lineRule="auto"/>
        <w:jc w:val="both"/>
        <w:rPr>
          <w:rFonts w:ascii="Calibri" w:hAnsi="Calibri" w:cs="Arial"/>
          <w:sz w:val="28"/>
          <w:szCs w:val="28"/>
        </w:rPr>
      </w:pPr>
      <w:r w:rsidRPr="006F77AE">
        <w:rPr>
          <w:rFonts w:ascii="Calibri" w:hAnsi="Calibri" w:cs="Arial"/>
          <w:sz w:val="28"/>
          <w:szCs w:val="28"/>
          <w:u w:val="single"/>
        </w:rPr>
        <w:t>Časť</w:t>
      </w:r>
      <w:r w:rsidR="0025603C" w:rsidRPr="006F77AE">
        <w:rPr>
          <w:rFonts w:ascii="Calibri" w:hAnsi="Calibri" w:cs="Arial"/>
          <w:sz w:val="28"/>
          <w:szCs w:val="28"/>
          <w:u w:val="single"/>
        </w:rPr>
        <w:t>:</w:t>
      </w:r>
      <w:r w:rsidR="006F77AE" w:rsidRPr="006F77AE">
        <w:rPr>
          <w:rFonts w:ascii="Calibri" w:hAnsi="Calibri" w:cs="Arial"/>
          <w:sz w:val="28"/>
          <w:szCs w:val="28"/>
        </w:rPr>
        <w:tab/>
      </w:r>
      <w:r w:rsidR="006F77AE" w:rsidRPr="006F77AE">
        <w:rPr>
          <w:rFonts w:ascii="Calibri" w:hAnsi="Calibri" w:cs="Arial"/>
          <w:sz w:val="28"/>
          <w:szCs w:val="28"/>
        </w:rPr>
        <w:tab/>
      </w:r>
      <w:r w:rsidR="006F77AE">
        <w:rPr>
          <w:rFonts w:ascii="Calibri" w:hAnsi="Calibri" w:cs="Arial"/>
          <w:sz w:val="28"/>
          <w:szCs w:val="28"/>
        </w:rPr>
        <w:t xml:space="preserve">     </w:t>
      </w:r>
      <w:r w:rsidR="006F77AE" w:rsidRPr="006F77AE">
        <w:rPr>
          <w:rFonts w:ascii="Calibri" w:hAnsi="Calibri" w:cs="Arial"/>
          <w:sz w:val="28"/>
          <w:szCs w:val="28"/>
        </w:rPr>
        <w:t>SO – 1</w:t>
      </w:r>
      <w:r w:rsidR="00404492">
        <w:rPr>
          <w:rFonts w:ascii="Calibri" w:hAnsi="Calibri" w:cs="Arial"/>
          <w:sz w:val="28"/>
          <w:szCs w:val="28"/>
        </w:rPr>
        <w:t>5.1 Vonkajšie informačné displeje</w:t>
      </w:r>
      <w:r w:rsidR="0025603C" w:rsidRPr="006F77AE">
        <w:rPr>
          <w:rFonts w:ascii="Calibri" w:hAnsi="Calibri" w:cs="Arial"/>
          <w:sz w:val="28"/>
          <w:szCs w:val="28"/>
          <w:u w:val="single"/>
        </w:rPr>
        <w:t xml:space="preserve"> </w:t>
      </w:r>
      <w:r w:rsidR="0025603C" w:rsidRPr="006F77AE">
        <w:rPr>
          <w:rFonts w:ascii="Calibri" w:hAnsi="Calibri" w:cs="Arial"/>
          <w:sz w:val="28"/>
          <w:szCs w:val="28"/>
        </w:rPr>
        <w:t xml:space="preserve">                   </w:t>
      </w:r>
    </w:p>
    <w:p w14:paraId="76CAA205" w14:textId="756A4FF6" w:rsidR="006F77AE" w:rsidRDefault="00553CD2" w:rsidP="00446B08">
      <w:pPr>
        <w:spacing w:line="360" w:lineRule="auto"/>
        <w:jc w:val="both"/>
        <w:rPr>
          <w:rFonts w:ascii="Calibri" w:hAnsi="Calibri" w:cs="Arial"/>
          <w:sz w:val="28"/>
          <w:szCs w:val="28"/>
        </w:rPr>
      </w:pPr>
      <w:r w:rsidRPr="006F77AE">
        <w:rPr>
          <w:rFonts w:ascii="Calibri" w:hAnsi="Calibri" w:cs="Arial"/>
          <w:sz w:val="28"/>
          <w:szCs w:val="28"/>
          <w:u w:val="single"/>
        </w:rPr>
        <w:t>Stupeň PD:</w:t>
      </w:r>
      <w:r w:rsidRPr="00366002">
        <w:rPr>
          <w:rFonts w:ascii="Calibri" w:hAnsi="Calibri" w:cs="Arial"/>
          <w:sz w:val="22"/>
          <w:szCs w:val="22"/>
          <w:u w:val="single"/>
        </w:rPr>
        <w:t xml:space="preserve"> </w:t>
      </w:r>
      <w:r w:rsidRPr="00366002">
        <w:rPr>
          <w:rFonts w:ascii="Calibri" w:hAnsi="Calibri" w:cs="Arial"/>
          <w:sz w:val="22"/>
          <w:szCs w:val="22"/>
        </w:rPr>
        <w:t xml:space="preserve">   </w:t>
      </w:r>
      <w:r>
        <w:rPr>
          <w:rFonts w:ascii="Calibri" w:hAnsi="Calibri" w:cs="Arial"/>
          <w:sz w:val="22"/>
          <w:szCs w:val="22"/>
        </w:rPr>
        <w:t xml:space="preserve">     </w:t>
      </w:r>
      <w:r w:rsidR="006F77AE">
        <w:rPr>
          <w:rFonts w:ascii="Calibri" w:hAnsi="Calibri" w:cs="Arial"/>
          <w:sz w:val="22"/>
          <w:szCs w:val="22"/>
        </w:rPr>
        <w:t xml:space="preserve"> </w:t>
      </w:r>
      <w:r w:rsidR="006F77AE">
        <w:rPr>
          <w:rFonts w:ascii="Calibri" w:hAnsi="Calibri" w:cs="Arial"/>
          <w:sz w:val="28"/>
          <w:szCs w:val="28"/>
        </w:rPr>
        <w:t>Projekt pre stavebné povolenie</w:t>
      </w:r>
    </w:p>
    <w:p w14:paraId="56B6A269" w14:textId="01076AC1" w:rsidR="006F77AE" w:rsidRDefault="006F77AE" w:rsidP="006F77AE">
      <w:pPr>
        <w:contextualSpacing/>
        <w:jc w:val="both"/>
        <w:rPr>
          <w:rFonts w:ascii="Calibri" w:hAnsi="Calibri" w:cs="Arial"/>
          <w:sz w:val="22"/>
          <w:szCs w:val="22"/>
        </w:rPr>
      </w:pPr>
      <w:r>
        <w:rPr>
          <w:rFonts w:ascii="Calibri" w:hAnsi="Calibri" w:cs="Arial"/>
          <w:sz w:val="22"/>
          <w:szCs w:val="22"/>
          <w:u w:val="single"/>
        </w:rPr>
        <w:t>Autor projektu</w:t>
      </w:r>
      <w:r w:rsidRPr="00366002">
        <w:rPr>
          <w:rFonts w:ascii="Calibri" w:hAnsi="Calibri" w:cs="Arial"/>
          <w:sz w:val="22"/>
          <w:szCs w:val="22"/>
          <w:u w:val="single"/>
        </w:rPr>
        <w:t xml:space="preserve">: </w:t>
      </w:r>
      <w:r w:rsidRPr="00366002">
        <w:rPr>
          <w:rFonts w:ascii="Calibri" w:hAnsi="Calibri" w:cs="Arial"/>
          <w:sz w:val="22"/>
          <w:szCs w:val="22"/>
        </w:rPr>
        <w:t xml:space="preserve">   </w:t>
      </w:r>
      <w:r>
        <w:rPr>
          <w:rFonts w:ascii="Calibri" w:hAnsi="Calibri" w:cs="Arial"/>
          <w:sz w:val="22"/>
          <w:szCs w:val="22"/>
        </w:rPr>
        <w:t xml:space="preserve">    </w:t>
      </w:r>
      <w:r w:rsidRPr="006F77AE">
        <w:rPr>
          <w:rFonts w:ascii="Calibri" w:hAnsi="Calibri" w:cs="Arial"/>
          <w:sz w:val="22"/>
          <w:szCs w:val="22"/>
        </w:rPr>
        <w:t>Ing. František Solár</w:t>
      </w:r>
    </w:p>
    <w:p w14:paraId="1497111C" w14:textId="77777777" w:rsidR="006F77AE" w:rsidRDefault="006F77AE" w:rsidP="006F77AE">
      <w:pPr>
        <w:contextualSpacing/>
        <w:jc w:val="both"/>
        <w:rPr>
          <w:rFonts w:ascii="Calibri" w:hAnsi="Calibri" w:cs="Arial"/>
          <w:sz w:val="22"/>
          <w:szCs w:val="22"/>
        </w:rPr>
      </w:pPr>
    </w:p>
    <w:p w14:paraId="49E62BC0" w14:textId="60C1D0B7" w:rsidR="006F77AE" w:rsidRDefault="006F77AE" w:rsidP="006F77AE">
      <w:pPr>
        <w:contextualSpacing/>
        <w:jc w:val="both"/>
        <w:rPr>
          <w:rFonts w:ascii="Calibri" w:hAnsi="Calibri" w:cs="Arial"/>
          <w:sz w:val="28"/>
          <w:szCs w:val="28"/>
        </w:rPr>
      </w:pPr>
      <w:r>
        <w:rPr>
          <w:rFonts w:ascii="Calibri" w:hAnsi="Calibri" w:cs="Arial"/>
          <w:sz w:val="22"/>
          <w:szCs w:val="22"/>
          <w:u w:val="single"/>
        </w:rPr>
        <w:t>Hl. inžinier</w:t>
      </w:r>
      <w:r w:rsidRPr="00366002">
        <w:rPr>
          <w:rFonts w:ascii="Calibri" w:hAnsi="Calibri" w:cs="Arial"/>
          <w:sz w:val="22"/>
          <w:szCs w:val="22"/>
          <w:u w:val="single"/>
        </w:rPr>
        <w:t xml:space="preserve">: </w:t>
      </w:r>
      <w:r w:rsidRPr="00366002">
        <w:rPr>
          <w:rFonts w:ascii="Calibri" w:hAnsi="Calibri" w:cs="Arial"/>
          <w:sz w:val="22"/>
          <w:szCs w:val="22"/>
        </w:rPr>
        <w:t xml:space="preserve">   </w:t>
      </w:r>
      <w:r>
        <w:rPr>
          <w:rFonts w:ascii="Calibri" w:hAnsi="Calibri" w:cs="Arial"/>
          <w:sz w:val="22"/>
          <w:szCs w:val="22"/>
        </w:rPr>
        <w:t xml:space="preserve">    </w:t>
      </w:r>
      <w:r w:rsidR="00F269A3">
        <w:rPr>
          <w:rFonts w:ascii="Calibri" w:hAnsi="Calibri" w:cs="Arial"/>
          <w:sz w:val="22"/>
          <w:szCs w:val="22"/>
        </w:rPr>
        <w:t xml:space="preserve">        </w:t>
      </w:r>
      <w:r w:rsidRPr="006F77AE">
        <w:rPr>
          <w:rFonts w:ascii="Calibri" w:hAnsi="Calibri" w:cs="Arial"/>
          <w:sz w:val="22"/>
          <w:szCs w:val="22"/>
        </w:rPr>
        <w:t xml:space="preserve">Ing. </w:t>
      </w:r>
      <w:r w:rsidR="00F269A3">
        <w:rPr>
          <w:rFonts w:ascii="Calibri" w:hAnsi="Calibri" w:cs="Arial"/>
          <w:sz w:val="22"/>
          <w:szCs w:val="22"/>
        </w:rPr>
        <w:t>Ján Jakubov</w:t>
      </w:r>
    </w:p>
    <w:p w14:paraId="0670F38C" w14:textId="77777777" w:rsidR="00F269A3" w:rsidRPr="00446B08" w:rsidRDefault="00F269A3" w:rsidP="006F77AE">
      <w:pPr>
        <w:contextualSpacing/>
        <w:jc w:val="both"/>
        <w:rPr>
          <w:rFonts w:ascii="Calibri" w:hAnsi="Calibri" w:cs="Arial"/>
          <w:sz w:val="28"/>
          <w:szCs w:val="28"/>
        </w:rPr>
      </w:pPr>
    </w:p>
    <w:p w14:paraId="263144CD" w14:textId="2D31527E" w:rsidR="009E1E64" w:rsidRPr="006F77AE" w:rsidRDefault="009E1E64" w:rsidP="003C0146">
      <w:pPr>
        <w:contextualSpacing/>
        <w:jc w:val="both"/>
        <w:rPr>
          <w:rFonts w:ascii="Calibri" w:hAnsi="Calibri" w:cs="Arial"/>
          <w:sz w:val="22"/>
          <w:szCs w:val="22"/>
        </w:rPr>
      </w:pPr>
      <w:r>
        <w:rPr>
          <w:rFonts w:ascii="Calibri" w:hAnsi="Calibri" w:cs="Arial"/>
          <w:sz w:val="22"/>
          <w:szCs w:val="22"/>
          <w:u w:val="single"/>
        </w:rPr>
        <w:t xml:space="preserve">Spracovateľ </w:t>
      </w:r>
      <w:r w:rsidR="003C0146">
        <w:rPr>
          <w:rFonts w:ascii="Calibri" w:hAnsi="Calibri" w:cs="Arial"/>
          <w:sz w:val="22"/>
          <w:szCs w:val="22"/>
          <w:u w:val="single"/>
        </w:rPr>
        <w:t>časti</w:t>
      </w:r>
      <w:r w:rsidR="002217E3" w:rsidRPr="00366002">
        <w:rPr>
          <w:rFonts w:ascii="Calibri" w:hAnsi="Calibri" w:cs="Arial"/>
          <w:sz w:val="22"/>
          <w:szCs w:val="22"/>
          <w:u w:val="single"/>
        </w:rPr>
        <w:t xml:space="preserve">: </w:t>
      </w:r>
      <w:r w:rsidR="002217E3" w:rsidRPr="00366002">
        <w:rPr>
          <w:rFonts w:ascii="Calibri" w:hAnsi="Calibri" w:cs="Arial"/>
          <w:sz w:val="22"/>
          <w:szCs w:val="22"/>
        </w:rPr>
        <w:t xml:space="preserve">   </w:t>
      </w:r>
      <w:r w:rsidR="00F269A3">
        <w:rPr>
          <w:rFonts w:ascii="Calibri" w:hAnsi="Calibri" w:cs="Arial"/>
          <w:sz w:val="22"/>
          <w:szCs w:val="22"/>
        </w:rPr>
        <w:t xml:space="preserve"> </w:t>
      </w:r>
      <w:r w:rsidR="003C0146" w:rsidRPr="006F77AE">
        <w:rPr>
          <w:rFonts w:ascii="Calibri" w:hAnsi="Calibri" w:cs="Arial"/>
          <w:sz w:val="22"/>
          <w:szCs w:val="22"/>
        </w:rPr>
        <w:t>Ing. Peter Cehlár</w:t>
      </w:r>
    </w:p>
    <w:p w14:paraId="4B29396C" w14:textId="717CFC4E" w:rsidR="002217E3" w:rsidRPr="006F77AE" w:rsidRDefault="009E1E64" w:rsidP="003C0146">
      <w:pPr>
        <w:contextualSpacing/>
        <w:jc w:val="both"/>
        <w:rPr>
          <w:rFonts w:ascii="Calibri" w:hAnsi="Calibri" w:cs="Arial"/>
          <w:sz w:val="22"/>
          <w:szCs w:val="22"/>
        </w:rPr>
      </w:pPr>
      <w:r w:rsidRPr="006F77AE">
        <w:rPr>
          <w:rFonts w:ascii="Calibri" w:hAnsi="Calibri" w:cs="Arial"/>
          <w:sz w:val="22"/>
          <w:szCs w:val="22"/>
        </w:rPr>
        <w:t xml:space="preserve">                                </w:t>
      </w:r>
      <w:r w:rsidR="00F269A3">
        <w:rPr>
          <w:rFonts w:ascii="Calibri" w:hAnsi="Calibri" w:cs="Arial"/>
          <w:sz w:val="22"/>
          <w:szCs w:val="22"/>
        </w:rPr>
        <w:t xml:space="preserve">     </w:t>
      </w:r>
      <w:r w:rsidR="003C0146" w:rsidRPr="006F77AE">
        <w:rPr>
          <w:rFonts w:ascii="Calibri" w:hAnsi="Calibri" w:cs="Arial"/>
          <w:sz w:val="22"/>
          <w:szCs w:val="22"/>
        </w:rPr>
        <w:t>Bauerova 42, 04023, Košice</w:t>
      </w:r>
      <w:r w:rsidR="00787F40" w:rsidRPr="006F77AE">
        <w:rPr>
          <w:rFonts w:ascii="Calibri" w:hAnsi="Calibri" w:cs="Arial"/>
          <w:sz w:val="22"/>
          <w:szCs w:val="22"/>
        </w:rPr>
        <w:t xml:space="preserve"> </w:t>
      </w:r>
    </w:p>
    <w:p w14:paraId="078CD2FB" w14:textId="77777777" w:rsidR="002217E3" w:rsidRPr="00366002" w:rsidRDefault="002217E3">
      <w:pPr>
        <w:spacing w:line="360" w:lineRule="auto"/>
        <w:jc w:val="both"/>
        <w:rPr>
          <w:rFonts w:ascii="Calibri" w:hAnsi="Calibri" w:cs="Arial"/>
          <w:sz w:val="22"/>
          <w:szCs w:val="22"/>
        </w:rPr>
      </w:pPr>
      <w:r w:rsidRPr="00366002">
        <w:rPr>
          <w:rFonts w:ascii="Calibri" w:hAnsi="Calibri" w:cs="Arial"/>
          <w:sz w:val="22"/>
          <w:szCs w:val="22"/>
          <w:u w:val="single"/>
        </w:rPr>
        <w:t>Profesný projektant</w:t>
      </w:r>
      <w:r w:rsidR="004342AF">
        <w:rPr>
          <w:rFonts w:ascii="Calibri" w:hAnsi="Calibri" w:cs="Arial"/>
          <w:sz w:val="22"/>
          <w:szCs w:val="22"/>
        </w:rPr>
        <w:t xml:space="preserve"> :  Ing. Peter Cehlár</w:t>
      </w:r>
      <w:r w:rsidR="00B42926">
        <w:rPr>
          <w:rFonts w:ascii="Calibri" w:hAnsi="Calibri" w:cs="Arial"/>
          <w:sz w:val="22"/>
          <w:szCs w:val="22"/>
        </w:rPr>
        <w:t xml:space="preserve"> </w:t>
      </w:r>
      <w:r w:rsidR="004342AF">
        <w:rPr>
          <w:rFonts w:ascii="Calibri" w:hAnsi="Calibri" w:cs="Arial"/>
          <w:sz w:val="22"/>
          <w:szCs w:val="22"/>
        </w:rPr>
        <w:t xml:space="preserve">        </w:t>
      </w:r>
      <w:r w:rsidR="009E1E64">
        <w:rPr>
          <w:rFonts w:ascii="Calibri" w:hAnsi="Calibri" w:cs="Arial"/>
          <w:sz w:val="22"/>
          <w:szCs w:val="22"/>
        </w:rPr>
        <w:t xml:space="preserve">                      </w:t>
      </w:r>
    </w:p>
    <w:p w14:paraId="4086AC7E" w14:textId="5B6D048A" w:rsidR="006E2B63" w:rsidRDefault="00F269A3">
      <w:pPr>
        <w:spacing w:line="360" w:lineRule="auto"/>
        <w:jc w:val="both"/>
        <w:rPr>
          <w:rFonts w:ascii="Calibri" w:hAnsi="Calibri" w:cs="Arial"/>
          <w:sz w:val="22"/>
          <w:szCs w:val="22"/>
        </w:rPr>
      </w:pPr>
      <w:r w:rsidRPr="00F269A3">
        <w:rPr>
          <w:rFonts w:ascii="Calibri" w:hAnsi="Calibri" w:cs="Arial"/>
          <w:sz w:val="22"/>
          <w:szCs w:val="22"/>
          <w:u w:val="single"/>
        </w:rPr>
        <w:t>Č</w:t>
      </w:r>
      <w:r w:rsidR="002217E3" w:rsidRPr="00F269A3">
        <w:rPr>
          <w:rFonts w:ascii="Calibri" w:hAnsi="Calibri" w:cs="Arial"/>
          <w:sz w:val="22"/>
          <w:szCs w:val="22"/>
          <w:u w:val="single"/>
        </w:rPr>
        <w:t>.</w:t>
      </w:r>
      <w:r w:rsidR="004342AF" w:rsidRPr="00F269A3">
        <w:rPr>
          <w:rFonts w:ascii="Calibri" w:hAnsi="Calibri" w:cs="Arial"/>
          <w:sz w:val="22"/>
          <w:szCs w:val="22"/>
          <w:u w:val="single"/>
        </w:rPr>
        <w:t xml:space="preserve"> </w:t>
      </w:r>
      <w:r w:rsidR="002217E3" w:rsidRPr="00F269A3">
        <w:rPr>
          <w:rFonts w:ascii="Calibri" w:hAnsi="Calibri" w:cs="Arial"/>
          <w:sz w:val="22"/>
          <w:szCs w:val="22"/>
          <w:u w:val="single"/>
        </w:rPr>
        <w:t>oprávnenia</w:t>
      </w:r>
      <w:r>
        <w:rPr>
          <w:rFonts w:ascii="Calibri" w:hAnsi="Calibri" w:cs="Arial"/>
          <w:sz w:val="22"/>
          <w:szCs w:val="22"/>
          <w:u w:val="single"/>
        </w:rPr>
        <w:t xml:space="preserve"> </w:t>
      </w:r>
      <w:r w:rsidR="004342AF" w:rsidRPr="00F269A3">
        <w:rPr>
          <w:rFonts w:ascii="Calibri" w:hAnsi="Calibri" w:cs="Arial"/>
          <w:sz w:val="22"/>
          <w:szCs w:val="22"/>
          <w:u w:val="single"/>
        </w:rPr>
        <w:t>SKSI:</w:t>
      </w:r>
      <w:r w:rsidR="004342AF">
        <w:rPr>
          <w:rFonts w:ascii="Calibri" w:hAnsi="Calibri" w:cs="Arial"/>
          <w:sz w:val="22"/>
          <w:szCs w:val="22"/>
        </w:rPr>
        <w:t xml:space="preserve"> </w:t>
      </w:r>
      <w:r>
        <w:rPr>
          <w:rFonts w:ascii="Calibri" w:hAnsi="Calibri" w:cs="Arial"/>
          <w:sz w:val="22"/>
          <w:szCs w:val="22"/>
        </w:rPr>
        <w:t xml:space="preserve">    </w:t>
      </w:r>
      <w:r w:rsidR="004342AF">
        <w:rPr>
          <w:rFonts w:ascii="Calibri" w:hAnsi="Calibri" w:cs="Arial"/>
          <w:sz w:val="22"/>
          <w:szCs w:val="22"/>
        </w:rPr>
        <w:t>6428*I4</w:t>
      </w:r>
    </w:p>
    <w:p w14:paraId="1640328C" w14:textId="77777777" w:rsidR="002217E3" w:rsidRPr="00366002" w:rsidRDefault="00A75415" w:rsidP="00AF5762">
      <w:pPr>
        <w:contextualSpacing/>
        <w:jc w:val="both"/>
        <w:rPr>
          <w:rFonts w:ascii="Calibri" w:hAnsi="Calibri" w:cs="Arial"/>
          <w:b/>
          <w:sz w:val="22"/>
          <w:szCs w:val="22"/>
          <w:u w:val="single"/>
        </w:rPr>
      </w:pPr>
      <w:r>
        <w:rPr>
          <w:rFonts w:ascii="Calibri" w:hAnsi="Calibri" w:cs="Arial"/>
          <w:b/>
          <w:sz w:val="22"/>
          <w:szCs w:val="22"/>
          <w:u w:val="single"/>
        </w:rPr>
        <w:t>1.1 Predmet a rozsah</w:t>
      </w:r>
      <w:r w:rsidR="002217E3" w:rsidRPr="00366002">
        <w:rPr>
          <w:rFonts w:ascii="Calibri" w:hAnsi="Calibri" w:cs="Arial"/>
          <w:b/>
          <w:sz w:val="22"/>
          <w:szCs w:val="22"/>
          <w:u w:val="single"/>
        </w:rPr>
        <w:t xml:space="preserve"> </w:t>
      </w:r>
      <w:r>
        <w:rPr>
          <w:rFonts w:ascii="Calibri" w:hAnsi="Calibri" w:cs="Arial"/>
          <w:b/>
          <w:sz w:val="22"/>
          <w:szCs w:val="22"/>
          <w:u w:val="single"/>
        </w:rPr>
        <w:t>projektu</w:t>
      </w:r>
      <w:r w:rsidR="002217E3" w:rsidRPr="00366002">
        <w:rPr>
          <w:rFonts w:ascii="Calibri" w:hAnsi="Calibri" w:cs="Arial"/>
          <w:b/>
          <w:sz w:val="22"/>
          <w:szCs w:val="22"/>
          <w:u w:val="single"/>
        </w:rPr>
        <w:t xml:space="preserve"> :</w:t>
      </w:r>
    </w:p>
    <w:p w14:paraId="37DFD929" w14:textId="5BF6712B" w:rsidR="00C71BF3" w:rsidRPr="00831EEC" w:rsidRDefault="00A75415" w:rsidP="00C71BF3">
      <w:pPr>
        <w:contextualSpacing/>
        <w:jc w:val="both"/>
        <w:rPr>
          <w:rFonts w:asciiTheme="minorHAnsi" w:hAnsiTheme="minorHAnsi"/>
          <w:sz w:val="22"/>
          <w:szCs w:val="22"/>
        </w:rPr>
      </w:pPr>
      <w:r w:rsidRPr="00C528C1">
        <w:rPr>
          <w:rFonts w:ascii="Calibri" w:hAnsi="Calibri" w:cs="Arial"/>
          <w:color w:val="FF0000"/>
          <w:sz w:val="22"/>
          <w:szCs w:val="22"/>
        </w:rPr>
        <w:t xml:space="preserve">  </w:t>
      </w:r>
      <w:r w:rsidR="00D52331" w:rsidRPr="00C528C1">
        <w:rPr>
          <w:rFonts w:ascii="Calibri" w:hAnsi="Calibri" w:cs="Arial"/>
          <w:color w:val="FF0000"/>
          <w:sz w:val="22"/>
          <w:szCs w:val="22"/>
        </w:rPr>
        <w:t xml:space="preserve">  </w:t>
      </w:r>
      <w:r w:rsidR="0025603C" w:rsidRPr="00831EEC">
        <w:rPr>
          <w:rFonts w:asciiTheme="minorHAnsi" w:hAnsiTheme="minorHAnsi"/>
          <w:sz w:val="22"/>
          <w:szCs w:val="22"/>
        </w:rPr>
        <w:t xml:space="preserve">Predmetom tejto časti projektovej dokumentácie je </w:t>
      </w:r>
      <w:r w:rsidR="00251594" w:rsidRPr="00831EEC">
        <w:rPr>
          <w:rFonts w:asciiTheme="minorHAnsi" w:hAnsiTheme="minorHAnsi"/>
          <w:sz w:val="22"/>
          <w:szCs w:val="22"/>
        </w:rPr>
        <w:t xml:space="preserve">rozšírenie existujúceho </w:t>
      </w:r>
      <w:r w:rsidR="00404492">
        <w:rPr>
          <w:rFonts w:asciiTheme="minorHAnsi" w:hAnsiTheme="minorHAnsi"/>
          <w:sz w:val="22"/>
          <w:szCs w:val="22"/>
        </w:rPr>
        <w:t>vonkajšieho informačného systému.</w:t>
      </w:r>
    </w:p>
    <w:p w14:paraId="49B91783" w14:textId="088B229F" w:rsidR="00E40A7C" w:rsidRPr="00C71BF3" w:rsidRDefault="00E40A7C" w:rsidP="0025603C">
      <w:pPr>
        <w:contextualSpacing/>
        <w:jc w:val="both"/>
        <w:rPr>
          <w:rFonts w:asciiTheme="minorHAnsi" w:hAnsiTheme="minorHAnsi"/>
          <w:sz w:val="22"/>
          <w:szCs w:val="22"/>
        </w:rPr>
      </w:pPr>
    </w:p>
    <w:p w14:paraId="5CC7C7F7" w14:textId="77777777" w:rsidR="00E40A7C" w:rsidRPr="00366002" w:rsidRDefault="00E40A7C" w:rsidP="00E40A7C">
      <w:pPr>
        <w:contextualSpacing/>
        <w:jc w:val="both"/>
        <w:rPr>
          <w:rFonts w:ascii="Calibri" w:hAnsi="Calibri" w:cs="Arial"/>
          <w:b/>
          <w:sz w:val="22"/>
          <w:szCs w:val="22"/>
          <w:u w:val="single"/>
        </w:rPr>
      </w:pPr>
      <w:r>
        <w:rPr>
          <w:rFonts w:ascii="Calibri" w:hAnsi="Calibri" w:cs="Arial"/>
          <w:b/>
          <w:sz w:val="22"/>
          <w:szCs w:val="22"/>
          <w:u w:val="single"/>
        </w:rPr>
        <w:t>1.2 Podklady</w:t>
      </w:r>
      <w:r w:rsidRPr="00366002">
        <w:rPr>
          <w:rFonts w:ascii="Calibri" w:hAnsi="Calibri" w:cs="Arial"/>
          <w:b/>
          <w:sz w:val="22"/>
          <w:szCs w:val="22"/>
          <w:u w:val="single"/>
        </w:rPr>
        <w:t>:</w:t>
      </w:r>
    </w:p>
    <w:p w14:paraId="774F4497" w14:textId="77777777" w:rsidR="00E40A7C" w:rsidRDefault="00E40A7C" w:rsidP="00E40A7C">
      <w:pPr>
        <w:contextualSpacing/>
        <w:jc w:val="both"/>
        <w:rPr>
          <w:rFonts w:ascii="Calibri" w:hAnsi="Calibri" w:cs="Arial"/>
          <w:sz w:val="22"/>
          <w:szCs w:val="22"/>
        </w:rPr>
      </w:pPr>
      <w:r w:rsidRPr="00D16B04">
        <w:rPr>
          <w:rFonts w:ascii="Calibri" w:hAnsi="Calibri" w:cs="Arial"/>
          <w:color w:val="FF0000"/>
          <w:sz w:val="22"/>
          <w:szCs w:val="22"/>
        </w:rPr>
        <w:t xml:space="preserve">  </w:t>
      </w:r>
      <w:r>
        <w:rPr>
          <w:rFonts w:ascii="Calibri" w:hAnsi="Calibri" w:cs="Arial"/>
          <w:sz w:val="22"/>
          <w:szCs w:val="22"/>
        </w:rPr>
        <w:t>P</w:t>
      </w:r>
      <w:r w:rsidRPr="00445E8B">
        <w:rPr>
          <w:rFonts w:ascii="Calibri" w:hAnsi="Calibri" w:cs="Arial"/>
          <w:sz w:val="22"/>
          <w:szCs w:val="22"/>
        </w:rPr>
        <w:t>o</w:t>
      </w:r>
      <w:r>
        <w:rPr>
          <w:rFonts w:ascii="Calibri" w:hAnsi="Calibri" w:cs="Arial"/>
          <w:sz w:val="22"/>
          <w:szCs w:val="22"/>
        </w:rPr>
        <w:t>dklady pre vypracovanie projektu boli:</w:t>
      </w:r>
    </w:p>
    <w:p w14:paraId="2DBBE49E" w14:textId="0D0E6251" w:rsidR="00E40A7C" w:rsidRPr="00C71BF3" w:rsidRDefault="00E40A7C" w:rsidP="000E7583">
      <w:pPr>
        <w:pStyle w:val="Odsekzoznamu"/>
        <w:numPr>
          <w:ilvl w:val="0"/>
          <w:numId w:val="17"/>
        </w:numPr>
        <w:jc w:val="both"/>
        <w:rPr>
          <w:rFonts w:ascii="Calibri" w:hAnsi="Calibri" w:cs="Arial"/>
          <w:sz w:val="22"/>
          <w:szCs w:val="22"/>
        </w:rPr>
      </w:pPr>
      <w:r w:rsidRPr="00C71BF3">
        <w:rPr>
          <w:rFonts w:ascii="Calibri" w:hAnsi="Calibri" w:cs="Arial"/>
          <w:sz w:val="22"/>
          <w:szCs w:val="22"/>
        </w:rPr>
        <w:t>Technické podmienky výrobcu zariadenia</w:t>
      </w:r>
    </w:p>
    <w:p w14:paraId="1C3E424A" w14:textId="77777777" w:rsidR="00E40A7C" w:rsidRDefault="00702108" w:rsidP="00E40A7C">
      <w:pPr>
        <w:pStyle w:val="Odsekzoznamu"/>
        <w:numPr>
          <w:ilvl w:val="0"/>
          <w:numId w:val="17"/>
        </w:numPr>
        <w:jc w:val="both"/>
        <w:rPr>
          <w:rFonts w:ascii="Calibri" w:hAnsi="Calibri" w:cs="Arial"/>
          <w:sz w:val="22"/>
          <w:szCs w:val="22"/>
        </w:rPr>
      </w:pPr>
      <w:r>
        <w:rPr>
          <w:rFonts w:ascii="Calibri" w:hAnsi="Calibri" w:cs="Arial"/>
          <w:sz w:val="22"/>
          <w:szCs w:val="22"/>
        </w:rPr>
        <w:t>Pôdorysy objektu</w:t>
      </w:r>
    </w:p>
    <w:p w14:paraId="5E117B2D" w14:textId="77777777" w:rsidR="00AF5762" w:rsidRDefault="00AF5762" w:rsidP="00C83F0C">
      <w:pPr>
        <w:jc w:val="both"/>
        <w:rPr>
          <w:rFonts w:ascii="Calibri" w:hAnsi="Calibri" w:cs="Arial"/>
          <w:sz w:val="22"/>
          <w:szCs w:val="22"/>
        </w:rPr>
      </w:pPr>
    </w:p>
    <w:p w14:paraId="5FAF5845" w14:textId="77777777" w:rsidR="00AF5762" w:rsidRDefault="00AF5762" w:rsidP="00486C8E">
      <w:pPr>
        <w:contextualSpacing/>
        <w:jc w:val="both"/>
        <w:rPr>
          <w:rFonts w:ascii="Calibri" w:hAnsi="Calibri" w:cs="Arial"/>
          <w:b/>
          <w:sz w:val="22"/>
          <w:szCs w:val="22"/>
          <w:u w:val="single"/>
        </w:rPr>
      </w:pPr>
      <w:r w:rsidRPr="00AF5762">
        <w:rPr>
          <w:rFonts w:ascii="Calibri" w:hAnsi="Calibri" w:cs="Arial"/>
          <w:b/>
          <w:sz w:val="22"/>
          <w:szCs w:val="22"/>
          <w:u w:val="single"/>
        </w:rPr>
        <w:t>1.</w:t>
      </w:r>
      <w:r w:rsidR="00E40A7C">
        <w:rPr>
          <w:rFonts w:ascii="Calibri" w:hAnsi="Calibri" w:cs="Arial"/>
          <w:b/>
          <w:sz w:val="22"/>
          <w:szCs w:val="22"/>
          <w:u w:val="single"/>
        </w:rPr>
        <w:t>3</w:t>
      </w:r>
      <w:r>
        <w:rPr>
          <w:rFonts w:ascii="Calibri" w:hAnsi="Calibri" w:cs="Arial"/>
          <w:b/>
          <w:sz w:val="22"/>
          <w:szCs w:val="22"/>
          <w:u w:val="single"/>
        </w:rPr>
        <w:t xml:space="preserve"> Predpisy normy</w:t>
      </w:r>
      <w:r w:rsidRPr="00366002">
        <w:rPr>
          <w:rFonts w:ascii="Calibri" w:hAnsi="Calibri" w:cs="Arial"/>
          <w:b/>
          <w:sz w:val="22"/>
          <w:szCs w:val="22"/>
          <w:u w:val="single"/>
        </w:rPr>
        <w:t xml:space="preserve"> :</w:t>
      </w:r>
    </w:p>
    <w:p w14:paraId="64DA309F" w14:textId="77777777" w:rsidR="00AF5762" w:rsidRDefault="003D7CF9" w:rsidP="00486C8E">
      <w:pPr>
        <w:contextualSpacing/>
        <w:jc w:val="both"/>
        <w:rPr>
          <w:rFonts w:ascii="Calibri" w:hAnsi="Calibri" w:cs="Arial"/>
          <w:sz w:val="22"/>
          <w:szCs w:val="22"/>
        </w:rPr>
      </w:pPr>
      <w:r>
        <w:rPr>
          <w:rFonts w:ascii="Calibri" w:hAnsi="Calibri" w:cs="Arial"/>
          <w:sz w:val="22"/>
          <w:szCs w:val="22"/>
        </w:rPr>
        <w:t xml:space="preserve">   </w:t>
      </w:r>
      <w:r w:rsidR="00AF5762">
        <w:rPr>
          <w:rFonts w:ascii="Calibri" w:hAnsi="Calibri" w:cs="Arial"/>
          <w:sz w:val="22"/>
          <w:szCs w:val="22"/>
        </w:rPr>
        <w:t>Pri vypracovaní dokumentácie boli použité normy a predpisy platné v čase vyhotovenia projektu:</w:t>
      </w:r>
    </w:p>
    <w:p w14:paraId="218830A2" w14:textId="77777777" w:rsidR="00645A7B" w:rsidRDefault="00645A7B" w:rsidP="00645A7B">
      <w:pPr>
        <w:contextualSpacing/>
        <w:jc w:val="both"/>
        <w:rPr>
          <w:rFonts w:ascii="Calibri" w:hAnsi="Calibri" w:cs="Arial"/>
          <w:sz w:val="22"/>
          <w:szCs w:val="22"/>
        </w:rPr>
      </w:pPr>
      <w:r>
        <w:rPr>
          <w:rFonts w:ascii="Calibri" w:hAnsi="Calibri" w:cs="Arial"/>
          <w:sz w:val="22"/>
          <w:szCs w:val="22"/>
        </w:rPr>
        <w:t xml:space="preserve">STN 33 2000-4-41: </w:t>
      </w:r>
      <w:r w:rsidRPr="00486C8E">
        <w:rPr>
          <w:rFonts w:ascii="Calibri" w:hAnsi="Calibri" w:cs="Arial"/>
          <w:sz w:val="22"/>
          <w:szCs w:val="22"/>
        </w:rPr>
        <w:t xml:space="preserve">Elektrické inštalácie nízkeho napätia. Časť 4-41: Zaistenie bezpečnosti. Ochrana pred </w:t>
      </w:r>
      <w:r>
        <w:rPr>
          <w:rFonts w:ascii="Calibri" w:hAnsi="Calibri" w:cs="Arial"/>
          <w:sz w:val="22"/>
          <w:szCs w:val="22"/>
        </w:rPr>
        <w:t xml:space="preserve">  </w:t>
      </w:r>
      <w:r w:rsidRPr="00486C8E">
        <w:rPr>
          <w:rFonts w:ascii="Calibri" w:hAnsi="Calibri" w:cs="Arial"/>
          <w:sz w:val="22"/>
          <w:szCs w:val="22"/>
        </w:rPr>
        <w:t>zásahom elektrickým prúdom</w:t>
      </w:r>
    </w:p>
    <w:p w14:paraId="00BE8DC6" w14:textId="77777777" w:rsidR="00645A7B" w:rsidRDefault="00645A7B" w:rsidP="00645A7B">
      <w:pPr>
        <w:contextualSpacing/>
        <w:jc w:val="both"/>
        <w:rPr>
          <w:rFonts w:ascii="Calibri" w:hAnsi="Calibri" w:cs="Arial"/>
          <w:sz w:val="22"/>
          <w:szCs w:val="22"/>
        </w:rPr>
      </w:pPr>
      <w:r>
        <w:rPr>
          <w:rFonts w:ascii="Calibri" w:hAnsi="Calibri" w:cs="Arial"/>
          <w:sz w:val="22"/>
          <w:szCs w:val="22"/>
        </w:rPr>
        <w:t xml:space="preserve">STN 33 2000-1: </w:t>
      </w:r>
      <w:r w:rsidRPr="00BC16B8">
        <w:rPr>
          <w:rFonts w:ascii="Calibri" w:hAnsi="Calibri" w:cs="Arial"/>
          <w:sz w:val="22"/>
          <w:szCs w:val="22"/>
        </w:rPr>
        <w:t>Elektrické inštalácie nízkeho napätia. Časť 1: Základné princípy, stanovenie všeobecných charakteristík, definície</w:t>
      </w:r>
    </w:p>
    <w:p w14:paraId="29518D05" w14:textId="77777777" w:rsidR="00645A7B" w:rsidRDefault="00645A7B" w:rsidP="00645A7B">
      <w:pPr>
        <w:contextualSpacing/>
        <w:jc w:val="both"/>
        <w:rPr>
          <w:rFonts w:ascii="Calibri" w:hAnsi="Calibri" w:cs="Arial"/>
          <w:sz w:val="22"/>
          <w:szCs w:val="22"/>
        </w:rPr>
      </w:pPr>
      <w:r>
        <w:rPr>
          <w:rFonts w:ascii="Calibri" w:hAnsi="Calibri" w:cs="Arial"/>
          <w:sz w:val="22"/>
          <w:szCs w:val="22"/>
        </w:rPr>
        <w:t xml:space="preserve">STN 33 2000-5-51: </w:t>
      </w:r>
      <w:r w:rsidRPr="00BC16B8">
        <w:rPr>
          <w:rFonts w:ascii="Calibri" w:hAnsi="Calibri" w:cs="Arial"/>
          <w:sz w:val="22"/>
          <w:szCs w:val="22"/>
        </w:rPr>
        <w:t>Elektrické inštalácie budov. Časť 5-51: Výber a stavba elektrických zariadení. Spoločné pravidlá</w:t>
      </w:r>
    </w:p>
    <w:p w14:paraId="389BB31D" w14:textId="77777777" w:rsidR="00D52331" w:rsidRDefault="00D52331" w:rsidP="00645A7B">
      <w:pPr>
        <w:contextualSpacing/>
        <w:jc w:val="both"/>
        <w:rPr>
          <w:rFonts w:ascii="Calibri" w:hAnsi="Calibri" w:cs="Arial"/>
          <w:sz w:val="22"/>
          <w:szCs w:val="22"/>
        </w:rPr>
      </w:pPr>
      <w:r>
        <w:rPr>
          <w:rFonts w:ascii="Calibri" w:hAnsi="Calibri" w:cs="Arial"/>
          <w:sz w:val="22"/>
          <w:szCs w:val="22"/>
        </w:rPr>
        <w:t xml:space="preserve">STN 33 2000-5-54: </w:t>
      </w:r>
      <w:r w:rsidRPr="00BC16B8">
        <w:rPr>
          <w:rFonts w:ascii="Calibri" w:hAnsi="Calibri" w:cs="Arial"/>
          <w:sz w:val="22"/>
          <w:szCs w:val="22"/>
        </w:rPr>
        <w:t>Elektrické inštalácie nízkeho napätia. Časť 5-54: Výber a stavba elektrických zariadení. Uzemňovacie sústavy a ochranné vodiče</w:t>
      </w:r>
    </w:p>
    <w:p w14:paraId="48332AA7" w14:textId="77777777" w:rsidR="00645A7B" w:rsidRDefault="00645A7B" w:rsidP="00645A7B">
      <w:pPr>
        <w:contextualSpacing/>
        <w:jc w:val="both"/>
        <w:rPr>
          <w:rFonts w:ascii="Calibri" w:hAnsi="Calibri" w:cs="Arial"/>
          <w:sz w:val="22"/>
          <w:szCs w:val="22"/>
        </w:rPr>
      </w:pPr>
      <w:r>
        <w:rPr>
          <w:rFonts w:ascii="Calibri" w:hAnsi="Calibri" w:cs="Arial"/>
          <w:sz w:val="22"/>
          <w:szCs w:val="22"/>
        </w:rPr>
        <w:t xml:space="preserve">STN EN 60445: </w:t>
      </w:r>
      <w:r w:rsidRPr="00BC16B8">
        <w:rPr>
          <w:rFonts w:ascii="Calibri" w:hAnsi="Calibri" w:cs="Arial"/>
          <w:sz w:val="22"/>
          <w:szCs w:val="22"/>
        </w:rPr>
        <w:t>Základné a bezpečnostné zásady pre rozhranie človek-stroj, označovanie a identifikácia. Identifikácia svoriek zariadení a prípojov vodičov a</w:t>
      </w:r>
      <w:r w:rsidR="00D52331">
        <w:rPr>
          <w:rFonts w:ascii="Calibri" w:hAnsi="Calibri" w:cs="Arial"/>
          <w:sz w:val="22"/>
          <w:szCs w:val="22"/>
        </w:rPr>
        <w:t> </w:t>
      </w:r>
      <w:r w:rsidRPr="00BC16B8">
        <w:rPr>
          <w:rFonts w:ascii="Calibri" w:hAnsi="Calibri" w:cs="Arial"/>
          <w:sz w:val="22"/>
          <w:szCs w:val="22"/>
        </w:rPr>
        <w:t>vodičov</w:t>
      </w:r>
    </w:p>
    <w:p w14:paraId="7D2FFFA6" w14:textId="77777777" w:rsidR="00D52331" w:rsidRPr="00282A12" w:rsidRDefault="00D52331" w:rsidP="00D52331">
      <w:pPr>
        <w:contextualSpacing/>
        <w:jc w:val="both"/>
        <w:rPr>
          <w:rFonts w:ascii="Calibri" w:hAnsi="Calibri"/>
          <w:sz w:val="22"/>
          <w:szCs w:val="22"/>
        </w:rPr>
      </w:pPr>
      <w:r>
        <w:rPr>
          <w:rStyle w:val="formtext"/>
          <w:rFonts w:ascii="Calibri" w:hAnsi="Calibri"/>
          <w:sz w:val="22"/>
          <w:szCs w:val="22"/>
        </w:rPr>
        <w:t>STN 33 2130: Elektrotechnické predpisy. Vnútorné elektrické rozvody.</w:t>
      </w:r>
    </w:p>
    <w:p w14:paraId="356F7E0A" w14:textId="77777777" w:rsidR="00D52331" w:rsidRDefault="00D52331" w:rsidP="00D52331">
      <w:pPr>
        <w:contextualSpacing/>
        <w:jc w:val="both"/>
        <w:rPr>
          <w:rFonts w:ascii="Calibri" w:hAnsi="Calibri" w:cs="Arial"/>
          <w:sz w:val="22"/>
          <w:szCs w:val="22"/>
        </w:rPr>
      </w:pPr>
      <w:r>
        <w:rPr>
          <w:rStyle w:val="formtext"/>
          <w:rFonts w:ascii="Calibri" w:hAnsi="Calibri"/>
          <w:sz w:val="22"/>
          <w:szCs w:val="22"/>
        </w:rPr>
        <w:t xml:space="preserve">STN 33 0110: </w:t>
      </w:r>
      <w:r w:rsidRPr="00EA1693">
        <w:rPr>
          <w:rStyle w:val="formtext"/>
          <w:rFonts w:ascii="Calibri" w:hAnsi="Calibri"/>
          <w:sz w:val="22"/>
          <w:szCs w:val="22"/>
        </w:rPr>
        <w:t>Napäťové pásma pre elektrické inštalácie budov</w:t>
      </w:r>
    </w:p>
    <w:p w14:paraId="11430D7E" w14:textId="77777777" w:rsidR="00D52331" w:rsidRDefault="00D52331" w:rsidP="00D52331">
      <w:pPr>
        <w:contextualSpacing/>
        <w:jc w:val="both"/>
        <w:rPr>
          <w:rStyle w:val="formtext"/>
          <w:rFonts w:ascii="Calibri" w:hAnsi="Calibri"/>
          <w:sz w:val="22"/>
          <w:szCs w:val="22"/>
        </w:rPr>
      </w:pPr>
      <w:r>
        <w:rPr>
          <w:rFonts w:ascii="Calibri" w:hAnsi="Calibri" w:cs="Arial"/>
          <w:sz w:val="22"/>
          <w:szCs w:val="22"/>
        </w:rPr>
        <w:t xml:space="preserve">STN EN 60529: </w:t>
      </w:r>
      <w:r w:rsidRPr="003431E3">
        <w:rPr>
          <w:rStyle w:val="formtext"/>
          <w:rFonts w:ascii="Calibri" w:hAnsi="Calibri"/>
          <w:sz w:val="22"/>
          <w:szCs w:val="22"/>
        </w:rPr>
        <w:t>Stupne ochrany krytom (krytie - IP kód)</w:t>
      </w:r>
    </w:p>
    <w:p w14:paraId="546955AB" w14:textId="77777777" w:rsidR="00D52331" w:rsidRPr="00D52331" w:rsidRDefault="00D52331" w:rsidP="00645A7B">
      <w:pPr>
        <w:contextualSpacing/>
        <w:jc w:val="both"/>
        <w:rPr>
          <w:rFonts w:ascii="Calibri" w:hAnsi="Calibri"/>
          <w:sz w:val="22"/>
          <w:szCs w:val="22"/>
        </w:rPr>
      </w:pPr>
      <w:r w:rsidRPr="003431E3">
        <w:rPr>
          <w:rStyle w:val="formtext"/>
          <w:rFonts w:ascii="Calibri" w:hAnsi="Calibri"/>
          <w:sz w:val="22"/>
          <w:szCs w:val="22"/>
        </w:rPr>
        <w:t>STN EN 50110-1: Prevádzka elektrických inštalácií</w:t>
      </w:r>
    </w:p>
    <w:p w14:paraId="6808521E" w14:textId="77777777" w:rsidR="00BC16B8" w:rsidRDefault="00BC16B8" w:rsidP="00486C8E">
      <w:pPr>
        <w:contextualSpacing/>
        <w:jc w:val="both"/>
        <w:rPr>
          <w:rFonts w:ascii="Calibri" w:hAnsi="Calibri" w:cs="Arial"/>
          <w:sz w:val="22"/>
          <w:szCs w:val="22"/>
        </w:rPr>
      </w:pPr>
      <w:r>
        <w:rPr>
          <w:rFonts w:ascii="Calibri" w:hAnsi="Calibri" w:cs="Arial"/>
          <w:sz w:val="22"/>
          <w:szCs w:val="22"/>
        </w:rPr>
        <w:t xml:space="preserve">STN 33 1500: </w:t>
      </w:r>
      <w:r w:rsidRPr="00BC16B8">
        <w:rPr>
          <w:rFonts w:ascii="Calibri" w:hAnsi="Calibri" w:cs="Arial"/>
          <w:sz w:val="22"/>
          <w:szCs w:val="22"/>
        </w:rPr>
        <w:t>Elektrotechnické predpisy. Revízie elektrických zariadení</w:t>
      </w:r>
    </w:p>
    <w:p w14:paraId="2243304D" w14:textId="77777777" w:rsidR="00BC16B8" w:rsidRDefault="00BC16B8" w:rsidP="003431E3">
      <w:pPr>
        <w:contextualSpacing/>
        <w:jc w:val="both"/>
        <w:rPr>
          <w:rFonts w:ascii="Calibri" w:hAnsi="Calibri" w:cs="Arial"/>
          <w:sz w:val="22"/>
          <w:szCs w:val="22"/>
        </w:rPr>
      </w:pPr>
      <w:r>
        <w:rPr>
          <w:rFonts w:ascii="Calibri" w:hAnsi="Calibri" w:cs="Arial"/>
          <w:sz w:val="22"/>
          <w:szCs w:val="22"/>
        </w:rPr>
        <w:t xml:space="preserve">STN 33 2000-6: </w:t>
      </w:r>
      <w:r w:rsidRPr="00BC16B8">
        <w:rPr>
          <w:rFonts w:ascii="Calibri" w:hAnsi="Calibri" w:cs="Arial"/>
          <w:sz w:val="22"/>
          <w:szCs w:val="22"/>
        </w:rPr>
        <w:t>Elektrické inštalácie nízkeho napätia. Časť 6: Revízia</w:t>
      </w:r>
    </w:p>
    <w:p w14:paraId="06A0C6EE" w14:textId="77777777" w:rsidR="00645A7B" w:rsidRPr="00645A7B" w:rsidRDefault="00645A7B" w:rsidP="003431E3">
      <w:pPr>
        <w:contextualSpacing/>
        <w:jc w:val="both"/>
        <w:rPr>
          <w:rFonts w:ascii="Calibri" w:hAnsi="Calibri"/>
          <w:sz w:val="22"/>
          <w:szCs w:val="22"/>
        </w:rPr>
      </w:pPr>
      <w:r>
        <w:rPr>
          <w:rFonts w:ascii="Calibri" w:hAnsi="Calibri" w:cs="Arial"/>
          <w:sz w:val="22"/>
          <w:szCs w:val="22"/>
        </w:rPr>
        <w:t xml:space="preserve">STN 34 7409: </w:t>
      </w:r>
      <w:r w:rsidRPr="00C754BD">
        <w:rPr>
          <w:rStyle w:val="formtext"/>
          <w:rFonts w:ascii="Calibri" w:hAnsi="Calibri"/>
          <w:sz w:val="22"/>
          <w:szCs w:val="22"/>
        </w:rPr>
        <w:t>Systém označovania káblov a</w:t>
      </w:r>
      <w:r>
        <w:rPr>
          <w:rStyle w:val="formtext"/>
          <w:rFonts w:ascii="Calibri" w:hAnsi="Calibri"/>
          <w:sz w:val="22"/>
          <w:szCs w:val="22"/>
        </w:rPr>
        <w:t> </w:t>
      </w:r>
      <w:r w:rsidRPr="00C754BD">
        <w:rPr>
          <w:rStyle w:val="formtext"/>
          <w:rFonts w:ascii="Calibri" w:hAnsi="Calibri"/>
          <w:sz w:val="22"/>
          <w:szCs w:val="22"/>
        </w:rPr>
        <w:t>vodičov</w:t>
      </w:r>
    </w:p>
    <w:p w14:paraId="2A23E5C9" w14:textId="77777777" w:rsidR="001173A4" w:rsidRDefault="001173A4" w:rsidP="001173A4">
      <w:pPr>
        <w:pStyle w:val="normln1"/>
        <w:jc w:val="both"/>
        <w:rPr>
          <w:rFonts w:ascii="Calibri" w:hAnsi="Calibri" w:cs="Arial"/>
          <w:sz w:val="22"/>
          <w:szCs w:val="22"/>
        </w:rPr>
      </w:pPr>
    </w:p>
    <w:p w14:paraId="21D31D65" w14:textId="18164A0F" w:rsidR="001173A4" w:rsidRDefault="001173A4" w:rsidP="001173A4">
      <w:pPr>
        <w:pStyle w:val="normln1"/>
        <w:jc w:val="both"/>
        <w:rPr>
          <w:rFonts w:ascii="Calibri" w:hAnsi="Calibri" w:cs="Arial"/>
          <w:sz w:val="22"/>
          <w:szCs w:val="22"/>
        </w:rPr>
      </w:pPr>
      <w:r w:rsidRPr="00506446">
        <w:rPr>
          <w:rFonts w:ascii="Calibri" w:hAnsi="Calibri" w:cs="Arial"/>
          <w:sz w:val="22"/>
          <w:szCs w:val="22"/>
        </w:rPr>
        <w:t>Vyhláška č.</w:t>
      </w:r>
      <w:r>
        <w:rPr>
          <w:rFonts w:ascii="Calibri" w:hAnsi="Calibri" w:cs="Arial"/>
          <w:sz w:val="22"/>
          <w:szCs w:val="22"/>
        </w:rPr>
        <w:t xml:space="preserve"> 508</w:t>
      </w:r>
      <w:r w:rsidRPr="00506446">
        <w:rPr>
          <w:rFonts w:ascii="Calibri" w:hAnsi="Calibri" w:cs="Arial"/>
          <w:sz w:val="22"/>
          <w:szCs w:val="22"/>
        </w:rPr>
        <w:t>/</w:t>
      </w:r>
      <w:r>
        <w:rPr>
          <w:rFonts w:ascii="Calibri" w:hAnsi="Calibri" w:cs="Arial"/>
          <w:sz w:val="22"/>
          <w:szCs w:val="22"/>
        </w:rPr>
        <w:t>2009</w:t>
      </w:r>
      <w:r w:rsidRPr="00506446">
        <w:rPr>
          <w:rFonts w:ascii="Calibri" w:hAnsi="Calibri" w:cs="Arial"/>
          <w:sz w:val="22"/>
          <w:szCs w:val="22"/>
        </w:rPr>
        <w:t xml:space="preserve"> Z.z </w:t>
      </w:r>
      <w:r>
        <w:rPr>
          <w:rFonts w:ascii="Calibri" w:hAnsi="Calibri" w:cs="Arial"/>
          <w:sz w:val="22"/>
          <w:szCs w:val="22"/>
        </w:rPr>
        <w:t>ktorou sa ustanovujú podrobnosti na zaistenie bezpečnosti a ochrany zdravia pri práci s technickými zariadeniami tlakovými, zdvíhacími, elektrickými a plynovými a ktorou sa ustanovujú technické zariadenia, ktoré sa považujú za vyhradené technické zariadenia.</w:t>
      </w:r>
    </w:p>
    <w:p w14:paraId="2CC9380B" w14:textId="77777777" w:rsidR="00E40A7C" w:rsidRDefault="00E40A7C" w:rsidP="00E40A7C">
      <w:pPr>
        <w:ind w:right="567"/>
        <w:rPr>
          <w:rFonts w:asciiTheme="minorHAnsi" w:hAnsiTheme="minorHAnsi"/>
          <w:sz w:val="22"/>
          <w:szCs w:val="22"/>
        </w:rPr>
      </w:pPr>
    </w:p>
    <w:p w14:paraId="16ABDF78" w14:textId="35831F8E" w:rsidR="00617984" w:rsidRPr="001173A4" w:rsidRDefault="00E40A7C" w:rsidP="001173A4">
      <w:pPr>
        <w:ind w:right="567"/>
        <w:rPr>
          <w:rFonts w:asciiTheme="minorHAnsi" w:hAnsiTheme="minorHAnsi"/>
          <w:sz w:val="22"/>
          <w:szCs w:val="22"/>
        </w:rPr>
      </w:pPr>
      <w:r w:rsidRPr="00E40A7C">
        <w:rPr>
          <w:rFonts w:asciiTheme="minorHAnsi" w:hAnsiTheme="minorHAnsi"/>
          <w:sz w:val="22"/>
          <w:szCs w:val="22"/>
        </w:rPr>
        <w:t xml:space="preserve">  </w:t>
      </w:r>
      <w:r w:rsidR="00617984" w:rsidRPr="00617984">
        <w:rPr>
          <w:rFonts w:asciiTheme="minorHAnsi" w:hAnsiTheme="minorHAnsi"/>
          <w:b/>
          <w:sz w:val="22"/>
          <w:szCs w:val="22"/>
          <w:u w:val="single"/>
        </w:rPr>
        <w:t>1.</w:t>
      </w:r>
      <w:r w:rsidR="001173A4">
        <w:rPr>
          <w:rFonts w:asciiTheme="minorHAnsi" w:hAnsiTheme="minorHAnsi"/>
          <w:b/>
          <w:sz w:val="22"/>
          <w:szCs w:val="22"/>
          <w:u w:val="single"/>
        </w:rPr>
        <w:t>4</w:t>
      </w:r>
      <w:r w:rsidR="00617984" w:rsidRPr="00617984">
        <w:rPr>
          <w:rFonts w:asciiTheme="minorHAnsi" w:hAnsiTheme="minorHAnsi"/>
          <w:b/>
          <w:sz w:val="22"/>
          <w:szCs w:val="22"/>
          <w:u w:val="single"/>
        </w:rPr>
        <w:t xml:space="preserve"> Upozornenie projektanta:</w:t>
      </w:r>
    </w:p>
    <w:p w14:paraId="5AA8CE17" w14:textId="77777777" w:rsidR="006F7EC2" w:rsidRDefault="00617984" w:rsidP="00645A7B">
      <w:pPr>
        <w:ind w:right="567" w:firstLine="567"/>
        <w:contextualSpacing/>
        <w:rPr>
          <w:rFonts w:asciiTheme="minorHAnsi" w:hAnsiTheme="minorHAnsi"/>
          <w:sz w:val="22"/>
          <w:szCs w:val="22"/>
        </w:rPr>
      </w:pPr>
      <w:r w:rsidRPr="00617984">
        <w:rPr>
          <w:rFonts w:asciiTheme="minorHAnsi" w:hAnsiTheme="minorHAnsi"/>
          <w:sz w:val="22"/>
          <w:szCs w:val="22"/>
        </w:rPr>
        <w:t xml:space="preserve">Predmet zákazky v celom rozsahu je opísaný tak, aby bol presne a zrozumiteľne špecifikovaný. Ak niektorý z použitých parametrov, alebo rozpätie parametrov identifikuje konkrétny typ výrobku, alebo </w:t>
      </w:r>
    </w:p>
    <w:p w14:paraId="18F73DD9" w14:textId="77777777" w:rsidR="00617984" w:rsidRPr="00617984" w:rsidRDefault="00617984" w:rsidP="006F7EC2">
      <w:pPr>
        <w:ind w:right="567"/>
        <w:contextualSpacing/>
        <w:rPr>
          <w:rFonts w:asciiTheme="minorHAnsi" w:hAnsiTheme="minorHAnsi"/>
          <w:sz w:val="22"/>
          <w:szCs w:val="22"/>
        </w:rPr>
      </w:pPr>
      <w:r w:rsidRPr="00617984">
        <w:rPr>
          <w:rFonts w:asciiTheme="minorHAnsi" w:hAnsiTheme="minorHAnsi"/>
          <w:sz w:val="22"/>
          <w:szCs w:val="22"/>
        </w:rPr>
        <w:t>výrobok konkrétneho výrobcu, verejný obstarávateľ umožní nahradiť takýto výrobok ekvivalentným výrobkom alebo ekvivalentom technického riešenia pod podmienkou, že ekvivalentný výrobok alebo ekvivalentné technické riešenie bude spĺňať úžitkové, prevádzkové a funkčné charakteristiky, ktoré sú nevyhnutné na zabezpečenie účelu, na ktoré sú uvedené technológie a zariadenia určené. Pri výrobkoch, príslušenstvách konkrétnej značky, uchádzač môže predložiť aj ekvivalenty inej značky v rovnakej alebo vyššej kvalite. Zároveň uvedie presné parametre, vlastnosti atď., aby mohol verejný obstarávateľ posúdiť, či ponúkané riešenie bude spĺňať úžitkové, prevádzkové a funkčné charakteristiky, ktoré sú nevyhnutné na zabezpečenie účelu, na ktoré sú uvedené výrobky určené a či sú v rovnakej alebo vyššej kvalite ako tie, ktoré boli uvedené v týchto súťažných podkladoch.</w:t>
      </w:r>
    </w:p>
    <w:p w14:paraId="600C5A1D" w14:textId="77777777" w:rsidR="005E5AAC" w:rsidRDefault="005E5AAC">
      <w:pPr>
        <w:rPr>
          <w:rFonts w:ascii="Calibri" w:hAnsi="Calibri" w:cs="Arial"/>
          <w:b/>
          <w:sz w:val="22"/>
          <w:szCs w:val="22"/>
          <w:u w:val="single"/>
        </w:rPr>
      </w:pPr>
    </w:p>
    <w:p w14:paraId="54E9F1C9" w14:textId="77777777" w:rsidR="002217E3" w:rsidRDefault="00FF39E9" w:rsidP="00FF39E9">
      <w:pPr>
        <w:contextualSpacing/>
        <w:rPr>
          <w:rFonts w:ascii="Calibri" w:hAnsi="Calibri" w:cs="Arial"/>
          <w:b/>
          <w:sz w:val="28"/>
          <w:szCs w:val="28"/>
          <w:u w:val="single"/>
        </w:rPr>
      </w:pPr>
      <w:r w:rsidRPr="00FF39E9">
        <w:rPr>
          <w:rFonts w:ascii="Calibri" w:hAnsi="Calibri" w:cs="Arial"/>
          <w:b/>
          <w:sz w:val="28"/>
          <w:szCs w:val="28"/>
          <w:u w:val="single"/>
        </w:rPr>
        <w:t>2.</w:t>
      </w:r>
      <w:r>
        <w:rPr>
          <w:rFonts w:ascii="Calibri" w:hAnsi="Calibri" w:cs="Arial"/>
          <w:b/>
          <w:sz w:val="28"/>
          <w:szCs w:val="28"/>
          <w:u w:val="single"/>
        </w:rPr>
        <w:t xml:space="preserve"> </w:t>
      </w:r>
      <w:r w:rsidR="003431E3">
        <w:rPr>
          <w:rFonts w:ascii="Calibri" w:hAnsi="Calibri" w:cs="Arial"/>
          <w:b/>
          <w:sz w:val="28"/>
          <w:szCs w:val="28"/>
          <w:u w:val="single"/>
        </w:rPr>
        <w:t>TECHNICKÉ ÚDAJE</w:t>
      </w:r>
      <w:r w:rsidR="002217E3" w:rsidRPr="00366002">
        <w:rPr>
          <w:rFonts w:ascii="Calibri" w:hAnsi="Calibri" w:cs="Arial"/>
          <w:b/>
          <w:sz w:val="28"/>
          <w:szCs w:val="28"/>
          <w:u w:val="single"/>
        </w:rPr>
        <w:t xml:space="preserve"> :</w:t>
      </w:r>
    </w:p>
    <w:p w14:paraId="765BAA21" w14:textId="77777777" w:rsidR="00645A7B" w:rsidRPr="001B4692" w:rsidRDefault="00645A7B" w:rsidP="00645A7B">
      <w:pPr>
        <w:contextualSpacing/>
        <w:rPr>
          <w:rFonts w:ascii="Calibri" w:hAnsi="Calibri" w:cs="Arial"/>
          <w:color w:val="FF0000"/>
          <w:sz w:val="22"/>
          <w:szCs w:val="22"/>
        </w:rPr>
      </w:pPr>
    </w:p>
    <w:p w14:paraId="359AB158" w14:textId="78C12C77" w:rsidR="00645A7B" w:rsidRPr="00486EF6" w:rsidRDefault="00645A7B" w:rsidP="00645A7B">
      <w:pPr>
        <w:contextualSpacing/>
        <w:rPr>
          <w:rFonts w:ascii="Calibri" w:hAnsi="Calibri" w:cs="Arial"/>
          <w:b/>
          <w:sz w:val="22"/>
          <w:szCs w:val="22"/>
          <w:u w:val="single"/>
        </w:rPr>
      </w:pPr>
      <w:r w:rsidRPr="00486EF6">
        <w:rPr>
          <w:rFonts w:ascii="Calibri" w:hAnsi="Calibri" w:cs="Arial"/>
          <w:b/>
          <w:sz w:val="22"/>
          <w:szCs w:val="22"/>
          <w:u w:val="single"/>
        </w:rPr>
        <w:t>2.</w:t>
      </w:r>
      <w:r w:rsidR="001173A4">
        <w:rPr>
          <w:rFonts w:ascii="Calibri" w:hAnsi="Calibri" w:cs="Arial"/>
          <w:b/>
          <w:sz w:val="22"/>
          <w:szCs w:val="22"/>
          <w:u w:val="single"/>
        </w:rPr>
        <w:t>1</w:t>
      </w:r>
      <w:r w:rsidRPr="00486EF6">
        <w:rPr>
          <w:rFonts w:ascii="Calibri" w:hAnsi="Calibri" w:cs="Arial"/>
          <w:b/>
          <w:sz w:val="22"/>
          <w:szCs w:val="22"/>
          <w:u w:val="single"/>
        </w:rPr>
        <w:t xml:space="preserve"> Ochrana pred </w:t>
      </w:r>
      <w:r w:rsidR="003D4D89" w:rsidRPr="00486EF6">
        <w:rPr>
          <w:rFonts w:ascii="Calibri" w:hAnsi="Calibri" w:cs="Arial"/>
          <w:b/>
          <w:sz w:val="22"/>
          <w:szCs w:val="22"/>
          <w:u w:val="single"/>
        </w:rPr>
        <w:t>zásahom</w:t>
      </w:r>
      <w:r w:rsidRPr="00486EF6">
        <w:rPr>
          <w:rFonts w:ascii="Calibri" w:hAnsi="Calibri" w:cs="Arial"/>
          <w:b/>
          <w:sz w:val="22"/>
          <w:szCs w:val="22"/>
          <w:u w:val="single"/>
        </w:rPr>
        <w:t xml:space="preserve"> elektrickým prúdom:</w:t>
      </w:r>
    </w:p>
    <w:p w14:paraId="0A925277" w14:textId="77777777" w:rsidR="00645A7B" w:rsidRPr="00486EF6" w:rsidRDefault="00645A7B" w:rsidP="00645A7B">
      <w:pPr>
        <w:pStyle w:val="pavel"/>
        <w:spacing w:line="240" w:lineRule="auto"/>
        <w:ind w:firstLine="142"/>
        <w:contextualSpacing/>
        <w:rPr>
          <w:rFonts w:asciiTheme="minorHAnsi" w:hAnsiTheme="minorHAnsi" w:cs="Arial"/>
          <w:bCs/>
          <w:sz w:val="22"/>
          <w:szCs w:val="22"/>
        </w:rPr>
      </w:pPr>
      <w:r w:rsidRPr="00486EF6">
        <w:rPr>
          <w:rFonts w:asciiTheme="minorHAnsi" w:hAnsiTheme="minorHAnsi" w:cs="Arial"/>
          <w:bCs/>
          <w:sz w:val="22"/>
          <w:szCs w:val="22"/>
        </w:rPr>
        <w:t>V zmysle STN 33 2000-4-41 Elektrické inštalácie nízkeho napätia, časť 4-41: Zaistenie bezpečnosti. Ochrana pre</w:t>
      </w:r>
      <w:r w:rsidR="003D4D89" w:rsidRPr="00486EF6">
        <w:rPr>
          <w:rFonts w:asciiTheme="minorHAnsi" w:hAnsiTheme="minorHAnsi" w:cs="Arial"/>
          <w:bCs/>
          <w:sz w:val="22"/>
          <w:szCs w:val="22"/>
        </w:rPr>
        <w:t>d</w:t>
      </w:r>
      <w:r w:rsidRPr="00486EF6">
        <w:rPr>
          <w:rFonts w:asciiTheme="minorHAnsi" w:hAnsiTheme="minorHAnsi" w:cs="Arial"/>
          <w:bCs/>
          <w:sz w:val="22"/>
          <w:szCs w:val="22"/>
        </w:rPr>
        <w:t xml:space="preserve"> zásahom elektrickým prúdom“ je navrhnutá základná ochrana:   </w:t>
      </w:r>
    </w:p>
    <w:p w14:paraId="2A725C60" w14:textId="77777777" w:rsidR="00645A7B" w:rsidRPr="00486EF6" w:rsidRDefault="00645A7B" w:rsidP="00645A7B">
      <w:pPr>
        <w:pStyle w:val="pavel"/>
        <w:spacing w:line="240" w:lineRule="auto"/>
        <w:contextualSpacing/>
        <w:rPr>
          <w:rFonts w:asciiTheme="minorHAnsi" w:hAnsiTheme="minorHAnsi" w:cs="Arial"/>
          <w:bCs/>
          <w:sz w:val="22"/>
          <w:szCs w:val="22"/>
        </w:rPr>
      </w:pPr>
      <w:r w:rsidRPr="00486EF6">
        <w:rPr>
          <w:rFonts w:asciiTheme="minorHAnsi" w:hAnsiTheme="minorHAnsi" w:cs="Arial"/>
          <w:bCs/>
          <w:sz w:val="22"/>
          <w:szCs w:val="22"/>
        </w:rPr>
        <w:t>- podľa prílohy A, kapitola A.1: Základná izolácia živých častí</w:t>
      </w:r>
    </w:p>
    <w:p w14:paraId="004E8ABF" w14:textId="77777777" w:rsidR="00645A7B" w:rsidRPr="00486EF6" w:rsidRDefault="00645A7B" w:rsidP="00645A7B">
      <w:pPr>
        <w:pStyle w:val="pavel"/>
        <w:spacing w:line="240" w:lineRule="auto"/>
        <w:contextualSpacing/>
        <w:rPr>
          <w:rFonts w:asciiTheme="minorHAnsi" w:hAnsiTheme="minorHAnsi" w:cs="Arial"/>
          <w:bCs/>
          <w:sz w:val="22"/>
          <w:szCs w:val="22"/>
        </w:rPr>
      </w:pPr>
      <w:r w:rsidRPr="00486EF6">
        <w:rPr>
          <w:rFonts w:asciiTheme="minorHAnsi" w:hAnsiTheme="minorHAnsi" w:cs="Arial"/>
          <w:bCs/>
          <w:sz w:val="22"/>
          <w:szCs w:val="22"/>
        </w:rPr>
        <w:t>- podľa prílohy A, kapitola A.2: Zábrany a</w:t>
      </w:r>
      <w:r w:rsidR="00F96500" w:rsidRPr="00486EF6">
        <w:rPr>
          <w:rFonts w:asciiTheme="minorHAnsi" w:hAnsiTheme="minorHAnsi" w:cs="Arial"/>
          <w:bCs/>
          <w:sz w:val="22"/>
          <w:szCs w:val="22"/>
        </w:rPr>
        <w:t> </w:t>
      </w:r>
      <w:r w:rsidRPr="00486EF6">
        <w:rPr>
          <w:rFonts w:asciiTheme="minorHAnsi" w:hAnsiTheme="minorHAnsi" w:cs="Arial"/>
          <w:bCs/>
          <w:sz w:val="22"/>
          <w:szCs w:val="22"/>
        </w:rPr>
        <w:t>kryty</w:t>
      </w:r>
    </w:p>
    <w:p w14:paraId="602D79E2" w14:textId="77777777" w:rsidR="003D4D89" w:rsidRPr="00486EF6" w:rsidRDefault="00F96500" w:rsidP="00645A7B">
      <w:pPr>
        <w:pStyle w:val="pavel"/>
        <w:spacing w:line="240" w:lineRule="auto"/>
        <w:contextualSpacing/>
        <w:rPr>
          <w:rFonts w:asciiTheme="minorHAnsi" w:hAnsiTheme="minorHAnsi" w:cs="Arial"/>
          <w:bCs/>
          <w:sz w:val="22"/>
          <w:szCs w:val="22"/>
        </w:rPr>
      </w:pPr>
      <w:r w:rsidRPr="00486EF6">
        <w:rPr>
          <w:rFonts w:asciiTheme="minorHAnsi" w:hAnsiTheme="minorHAnsi" w:cs="Arial"/>
          <w:bCs/>
          <w:sz w:val="22"/>
          <w:szCs w:val="22"/>
        </w:rPr>
        <w:t>- ochranné opatrenie: dvojitá alebo zosilnená izolácia podľa článku 412.</w:t>
      </w:r>
    </w:p>
    <w:p w14:paraId="4BA9AB4B" w14:textId="77777777" w:rsidR="00486EF6" w:rsidRDefault="00486EF6" w:rsidP="00645A7B">
      <w:pPr>
        <w:pStyle w:val="pavel"/>
        <w:spacing w:line="240" w:lineRule="auto"/>
        <w:contextualSpacing/>
        <w:rPr>
          <w:rFonts w:asciiTheme="minorHAnsi" w:hAnsiTheme="minorHAnsi" w:cs="Arial"/>
          <w:bCs/>
          <w:sz w:val="22"/>
          <w:szCs w:val="22"/>
        </w:rPr>
      </w:pPr>
      <w:r w:rsidRPr="00486EF6">
        <w:rPr>
          <w:rFonts w:asciiTheme="minorHAnsi" w:hAnsiTheme="minorHAnsi" w:cs="Arial"/>
          <w:bCs/>
          <w:sz w:val="22"/>
          <w:szCs w:val="22"/>
        </w:rPr>
        <w:t>- ochranné opatrenie: malé napätie SELV a PELV podľa článku 414.</w:t>
      </w:r>
    </w:p>
    <w:p w14:paraId="471D3C74" w14:textId="77777777" w:rsidR="00486EF6" w:rsidRPr="00486EF6" w:rsidRDefault="00486EF6" w:rsidP="00645A7B">
      <w:pPr>
        <w:pStyle w:val="pavel"/>
        <w:spacing w:line="240" w:lineRule="auto"/>
        <w:contextualSpacing/>
        <w:rPr>
          <w:rFonts w:asciiTheme="minorHAnsi" w:hAnsiTheme="minorHAnsi" w:cs="Arial"/>
          <w:bCs/>
          <w:sz w:val="22"/>
          <w:szCs w:val="22"/>
        </w:rPr>
      </w:pPr>
    </w:p>
    <w:p w14:paraId="47A510AC" w14:textId="77777777" w:rsidR="00645A7B" w:rsidRPr="00486EF6" w:rsidRDefault="00645A7B" w:rsidP="00645A7B">
      <w:pPr>
        <w:pStyle w:val="pavel"/>
        <w:spacing w:line="240" w:lineRule="auto"/>
        <w:ind w:firstLine="142"/>
        <w:contextualSpacing/>
        <w:rPr>
          <w:rFonts w:asciiTheme="minorHAnsi" w:hAnsiTheme="minorHAnsi" w:cs="Arial"/>
          <w:bCs/>
          <w:sz w:val="22"/>
          <w:szCs w:val="22"/>
        </w:rPr>
      </w:pPr>
      <w:r w:rsidRPr="00486EF6">
        <w:rPr>
          <w:rFonts w:asciiTheme="minorHAnsi" w:hAnsiTheme="minorHAnsi" w:cs="Arial"/>
          <w:bCs/>
          <w:sz w:val="22"/>
          <w:szCs w:val="22"/>
        </w:rPr>
        <w:t>V zmysle STN 33 2000-4-41 Elektrické inštalácie nízkeho napätia, časť 4-41: Zaistenie bezpečnosti. Ochrana pred zásahom elektrickým prúdom“ je navrhnutá ochrana pri poruche:</w:t>
      </w:r>
    </w:p>
    <w:p w14:paraId="227D6ADB" w14:textId="77777777" w:rsidR="00645A7B" w:rsidRPr="00486EF6" w:rsidRDefault="00645A7B" w:rsidP="00645A7B">
      <w:pPr>
        <w:pStyle w:val="pavel"/>
        <w:spacing w:line="240" w:lineRule="auto"/>
        <w:contextualSpacing/>
        <w:rPr>
          <w:rFonts w:asciiTheme="minorHAnsi" w:hAnsiTheme="minorHAnsi" w:cs="Arial"/>
          <w:bCs/>
          <w:sz w:val="22"/>
          <w:szCs w:val="22"/>
        </w:rPr>
      </w:pPr>
      <w:r w:rsidRPr="00486EF6">
        <w:rPr>
          <w:rFonts w:asciiTheme="minorHAnsi" w:hAnsiTheme="minorHAnsi" w:cs="Arial"/>
          <w:bCs/>
          <w:sz w:val="22"/>
          <w:szCs w:val="22"/>
        </w:rPr>
        <w:t>- samočinným odpojením pri poruche podľa článku 411.3.2</w:t>
      </w:r>
    </w:p>
    <w:p w14:paraId="40791B44" w14:textId="77777777" w:rsidR="00F96500" w:rsidRPr="00486EF6" w:rsidRDefault="00645A7B" w:rsidP="00645A7B">
      <w:pPr>
        <w:pStyle w:val="Pta"/>
        <w:tabs>
          <w:tab w:val="left" w:pos="708"/>
        </w:tabs>
        <w:contextualSpacing/>
        <w:rPr>
          <w:rFonts w:asciiTheme="minorHAnsi" w:hAnsiTheme="minorHAnsi" w:cs="Arial"/>
          <w:sz w:val="22"/>
          <w:szCs w:val="22"/>
        </w:rPr>
      </w:pPr>
      <w:r w:rsidRPr="00486EF6">
        <w:rPr>
          <w:rFonts w:asciiTheme="minorHAnsi" w:hAnsiTheme="minorHAnsi" w:cs="Arial"/>
          <w:sz w:val="22"/>
          <w:szCs w:val="22"/>
        </w:rPr>
        <w:t>- ochranné uzemnenie a ochranné pospájanie podľa článku 411.3.1</w:t>
      </w:r>
    </w:p>
    <w:p w14:paraId="0117D307" w14:textId="77777777" w:rsidR="00F96500" w:rsidRPr="00486EF6" w:rsidRDefault="00F96500" w:rsidP="00F96500">
      <w:pPr>
        <w:pStyle w:val="pavel"/>
        <w:spacing w:line="240" w:lineRule="auto"/>
        <w:contextualSpacing/>
        <w:rPr>
          <w:rFonts w:asciiTheme="minorHAnsi" w:hAnsiTheme="minorHAnsi" w:cs="Arial"/>
          <w:bCs/>
          <w:sz w:val="22"/>
          <w:szCs w:val="22"/>
        </w:rPr>
      </w:pPr>
      <w:r w:rsidRPr="00486EF6">
        <w:rPr>
          <w:rFonts w:asciiTheme="minorHAnsi" w:hAnsiTheme="minorHAnsi" w:cs="Arial"/>
          <w:bCs/>
          <w:sz w:val="22"/>
          <w:szCs w:val="22"/>
        </w:rPr>
        <w:t>- ochranné opatrenie: dvojitá alebo zosilnená izolácia podľa článku 412.</w:t>
      </w:r>
    </w:p>
    <w:p w14:paraId="0A07666C" w14:textId="77777777" w:rsidR="00486EF6" w:rsidRPr="00486EF6" w:rsidRDefault="00486EF6" w:rsidP="00486EF6">
      <w:pPr>
        <w:pStyle w:val="pavel"/>
        <w:spacing w:line="240" w:lineRule="auto"/>
        <w:contextualSpacing/>
        <w:rPr>
          <w:rFonts w:asciiTheme="minorHAnsi" w:hAnsiTheme="minorHAnsi" w:cs="Arial"/>
          <w:bCs/>
          <w:sz w:val="22"/>
          <w:szCs w:val="22"/>
        </w:rPr>
      </w:pPr>
      <w:r w:rsidRPr="00486EF6">
        <w:rPr>
          <w:rFonts w:asciiTheme="minorHAnsi" w:hAnsiTheme="minorHAnsi" w:cs="Arial"/>
          <w:bCs/>
          <w:sz w:val="22"/>
          <w:szCs w:val="22"/>
        </w:rPr>
        <w:t>- ochranné opatrenie: malé napätie SELV a PELV podľa článku 414.</w:t>
      </w:r>
    </w:p>
    <w:p w14:paraId="58F0FD86" w14:textId="5F2B9DAE" w:rsidR="00F96500" w:rsidRDefault="00F96500" w:rsidP="00645A7B">
      <w:pPr>
        <w:pStyle w:val="Pta"/>
        <w:tabs>
          <w:tab w:val="left" w:pos="708"/>
        </w:tabs>
        <w:contextualSpacing/>
        <w:rPr>
          <w:rFonts w:asciiTheme="minorHAnsi" w:hAnsiTheme="minorHAnsi" w:cs="Arial"/>
          <w:sz w:val="22"/>
          <w:szCs w:val="22"/>
        </w:rPr>
      </w:pPr>
    </w:p>
    <w:p w14:paraId="528A5439" w14:textId="77777777" w:rsidR="001173A4" w:rsidRPr="00FB72FD" w:rsidRDefault="001173A4" w:rsidP="001173A4">
      <w:pPr>
        <w:contextualSpacing/>
        <w:rPr>
          <w:rFonts w:ascii="Calibri" w:hAnsi="Calibri" w:cs="Arial"/>
          <w:b/>
          <w:sz w:val="22"/>
          <w:szCs w:val="22"/>
          <w:u w:val="single"/>
        </w:rPr>
      </w:pPr>
      <w:r>
        <w:rPr>
          <w:rFonts w:ascii="Calibri" w:hAnsi="Calibri" w:cs="Arial"/>
          <w:b/>
          <w:sz w:val="22"/>
          <w:szCs w:val="22"/>
          <w:u w:val="single"/>
        </w:rPr>
        <w:t>2.2 Začlenenie elektrických</w:t>
      </w:r>
      <w:r w:rsidRPr="00FB72FD">
        <w:rPr>
          <w:rFonts w:ascii="Calibri" w:hAnsi="Calibri" w:cs="Arial"/>
          <w:b/>
          <w:sz w:val="22"/>
          <w:szCs w:val="22"/>
          <w:u w:val="single"/>
        </w:rPr>
        <w:t xml:space="preserve"> zariadení podľa miery ohrozenia:</w:t>
      </w:r>
    </w:p>
    <w:p w14:paraId="1FCE010D" w14:textId="77777777" w:rsidR="001173A4" w:rsidRPr="00FB72FD" w:rsidRDefault="001173A4" w:rsidP="001173A4">
      <w:pPr>
        <w:contextualSpacing/>
        <w:rPr>
          <w:rFonts w:ascii="Calibri" w:hAnsi="Calibri" w:cs="Arial"/>
          <w:sz w:val="22"/>
          <w:szCs w:val="22"/>
        </w:rPr>
      </w:pPr>
      <w:r>
        <w:rPr>
          <w:rFonts w:ascii="Calibri" w:hAnsi="Calibri" w:cs="Arial"/>
          <w:sz w:val="22"/>
          <w:szCs w:val="22"/>
        </w:rPr>
        <w:t xml:space="preserve">   </w:t>
      </w:r>
      <w:r w:rsidRPr="00FB72FD">
        <w:rPr>
          <w:rFonts w:ascii="Calibri" w:hAnsi="Calibri" w:cs="Arial"/>
          <w:sz w:val="22"/>
          <w:szCs w:val="22"/>
        </w:rPr>
        <w:t xml:space="preserve">V zmysle vyhlášky MPSVaR SR č.508/2009 Z. z., Príloha č.1, III. Časť sú podľa miery ohrozenia zaradené technické zariadenia elektrické nasledovne: </w:t>
      </w:r>
    </w:p>
    <w:p w14:paraId="3D0B0A3E" w14:textId="7FC69732" w:rsidR="001173A4" w:rsidRPr="00FB72FD" w:rsidRDefault="001173A4" w:rsidP="001173A4">
      <w:pPr>
        <w:contextualSpacing/>
        <w:rPr>
          <w:rFonts w:ascii="Calibri" w:hAnsi="Calibri" w:cs="Arial"/>
          <w:b/>
          <w:sz w:val="22"/>
          <w:szCs w:val="22"/>
        </w:rPr>
      </w:pPr>
      <w:r w:rsidRPr="00FB72FD">
        <w:rPr>
          <w:rFonts w:ascii="Calibri" w:hAnsi="Calibri" w:cs="Arial"/>
          <w:b/>
          <w:sz w:val="22"/>
          <w:szCs w:val="22"/>
        </w:rPr>
        <w:t>Technické zariadenia elektrické skupiny „</w:t>
      </w:r>
      <w:r>
        <w:rPr>
          <w:rFonts w:ascii="Calibri" w:hAnsi="Calibri" w:cs="Arial"/>
          <w:b/>
          <w:sz w:val="22"/>
          <w:szCs w:val="22"/>
        </w:rPr>
        <w:t>C</w:t>
      </w:r>
      <w:r w:rsidRPr="00FB72FD">
        <w:rPr>
          <w:rFonts w:ascii="Calibri" w:hAnsi="Calibri" w:cs="Arial"/>
          <w:b/>
          <w:sz w:val="22"/>
          <w:szCs w:val="22"/>
        </w:rPr>
        <w:t>“</w:t>
      </w:r>
    </w:p>
    <w:p w14:paraId="45EB24DC" w14:textId="77777777" w:rsidR="00553CD2" w:rsidRDefault="00553CD2" w:rsidP="00645A7B">
      <w:pPr>
        <w:pStyle w:val="Pta"/>
        <w:tabs>
          <w:tab w:val="left" w:pos="708"/>
        </w:tabs>
        <w:contextualSpacing/>
        <w:rPr>
          <w:rFonts w:asciiTheme="minorHAnsi" w:hAnsiTheme="minorHAnsi" w:cs="Arial"/>
          <w:sz w:val="22"/>
          <w:szCs w:val="22"/>
        </w:rPr>
      </w:pPr>
    </w:p>
    <w:p w14:paraId="303ADD2D" w14:textId="77777777" w:rsidR="00F96500" w:rsidRPr="003B24AF" w:rsidRDefault="00F96500" w:rsidP="00F96500">
      <w:pPr>
        <w:ind w:right="567"/>
        <w:rPr>
          <w:rFonts w:asciiTheme="minorHAnsi" w:hAnsiTheme="minorHAnsi"/>
          <w:b/>
          <w:sz w:val="22"/>
          <w:szCs w:val="22"/>
          <w:u w:val="single"/>
        </w:rPr>
      </w:pPr>
      <w:r w:rsidRPr="003B24AF">
        <w:rPr>
          <w:rFonts w:asciiTheme="minorHAnsi" w:hAnsiTheme="minorHAnsi"/>
          <w:b/>
          <w:sz w:val="22"/>
          <w:szCs w:val="22"/>
          <w:u w:val="single"/>
        </w:rPr>
        <w:t>2.3 Prostredie:</w:t>
      </w:r>
    </w:p>
    <w:p w14:paraId="0E4A71BE" w14:textId="334F8AE9" w:rsidR="003608FF" w:rsidRDefault="00F96500" w:rsidP="001173A4">
      <w:pPr>
        <w:ind w:right="567"/>
        <w:rPr>
          <w:rFonts w:asciiTheme="minorHAnsi" w:hAnsiTheme="minorHAnsi"/>
          <w:sz w:val="22"/>
          <w:szCs w:val="22"/>
        </w:rPr>
      </w:pPr>
      <w:r>
        <w:rPr>
          <w:rFonts w:asciiTheme="minorHAnsi" w:hAnsiTheme="minorHAnsi"/>
          <w:sz w:val="22"/>
          <w:szCs w:val="22"/>
        </w:rPr>
        <w:t xml:space="preserve">   </w:t>
      </w:r>
      <w:bookmarkStart w:id="0" w:name="_Hlk52824568"/>
      <w:r w:rsidRPr="003B24AF">
        <w:rPr>
          <w:rFonts w:asciiTheme="minorHAnsi" w:hAnsiTheme="minorHAnsi"/>
          <w:sz w:val="22"/>
          <w:szCs w:val="22"/>
        </w:rPr>
        <w:t>Vonkajšie vplyvy  podľa</w:t>
      </w:r>
      <w:r>
        <w:rPr>
          <w:rFonts w:asciiTheme="minorHAnsi" w:hAnsiTheme="minorHAnsi"/>
          <w:sz w:val="22"/>
          <w:szCs w:val="22"/>
        </w:rPr>
        <w:t xml:space="preserve"> STN 33 2000-5-51 v priestoroch</w:t>
      </w:r>
      <w:r w:rsidRPr="003B24AF">
        <w:rPr>
          <w:rFonts w:asciiTheme="minorHAnsi" w:hAnsiTheme="minorHAnsi"/>
          <w:sz w:val="22"/>
          <w:szCs w:val="22"/>
        </w:rPr>
        <w:t xml:space="preserve">, v ktorých </w:t>
      </w:r>
      <w:r w:rsidR="001B4692">
        <w:rPr>
          <w:rFonts w:asciiTheme="minorHAnsi" w:hAnsiTheme="minorHAnsi"/>
          <w:sz w:val="22"/>
          <w:szCs w:val="22"/>
        </w:rPr>
        <w:t>sú</w:t>
      </w:r>
      <w:r w:rsidRPr="003B24AF">
        <w:rPr>
          <w:rFonts w:asciiTheme="minorHAnsi" w:hAnsiTheme="minorHAnsi"/>
          <w:sz w:val="22"/>
          <w:szCs w:val="22"/>
        </w:rPr>
        <w:t xml:space="preserve"> navrhovan</w:t>
      </w:r>
      <w:r w:rsidR="001B4692">
        <w:rPr>
          <w:rFonts w:asciiTheme="minorHAnsi" w:hAnsiTheme="minorHAnsi"/>
          <w:sz w:val="22"/>
          <w:szCs w:val="22"/>
        </w:rPr>
        <w:t>é</w:t>
      </w:r>
      <w:r>
        <w:rPr>
          <w:rFonts w:asciiTheme="minorHAnsi" w:hAnsiTheme="minorHAnsi"/>
          <w:sz w:val="22"/>
          <w:szCs w:val="22"/>
        </w:rPr>
        <w:t xml:space="preserve"> </w:t>
      </w:r>
      <w:r w:rsidR="00C71BF3">
        <w:rPr>
          <w:rFonts w:asciiTheme="minorHAnsi" w:hAnsiTheme="minorHAnsi"/>
          <w:sz w:val="22"/>
          <w:szCs w:val="22"/>
        </w:rPr>
        <w:t>bezpečnostné systémy</w:t>
      </w:r>
      <w:r w:rsidR="001B4692">
        <w:rPr>
          <w:rFonts w:asciiTheme="minorHAnsi" w:hAnsiTheme="minorHAnsi"/>
          <w:sz w:val="22"/>
          <w:szCs w:val="22"/>
        </w:rPr>
        <w:t xml:space="preserve"> </w:t>
      </w:r>
      <w:r w:rsidRPr="003B24AF">
        <w:rPr>
          <w:rFonts w:asciiTheme="minorHAnsi" w:hAnsiTheme="minorHAnsi"/>
          <w:sz w:val="22"/>
          <w:szCs w:val="22"/>
        </w:rPr>
        <w:t>boli stanovené odbornou komisiou a sú uvedené v „ Protokole o určení vonkajších vplyvov</w:t>
      </w:r>
      <w:r w:rsidR="00C71BF3">
        <w:rPr>
          <w:rFonts w:asciiTheme="minorHAnsi" w:hAnsiTheme="minorHAnsi"/>
          <w:sz w:val="22"/>
          <w:szCs w:val="22"/>
        </w:rPr>
        <w:t>.</w:t>
      </w:r>
      <w:r w:rsidR="008D0206">
        <w:rPr>
          <w:rFonts w:asciiTheme="minorHAnsi" w:hAnsiTheme="minorHAnsi"/>
          <w:sz w:val="22"/>
          <w:szCs w:val="22"/>
        </w:rPr>
        <w:t xml:space="preserve"> Protokol je v</w:t>
      </w:r>
      <w:r w:rsidR="008851A9">
        <w:rPr>
          <w:rFonts w:asciiTheme="minorHAnsi" w:hAnsiTheme="minorHAnsi"/>
          <w:sz w:val="22"/>
          <w:szCs w:val="22"/>
        </w:rPr>
        <w:t> dokladovej časti stavby</w:t>
      </w:r>
      <w:r w:rsidR="001173A4">
        <w:rPr>
          <w:rFonts w:asciiTheme="minorHAnsi" w:hAnsiTheme="minorHAnsi"/>
          <w:sz w:val="22"/>
          <w:szCs w:val="22"/>
        </w:rPr>
        <w:t>.</w:t>
      </w:r>
      <w:bookmarkEnd w:id="0"/>
    </w:p>
    <w:p w14:paraId="491701BC" w14:textId="77777777" w:rsidR="001173A4" w:rsidRDefault="001173A4" w:rsidP="001173A4">
      <w:pPr>
        <w:ind w:right="567"/>
        <w:rPr>
          <w:rFonts w:asciiTheme="minorHAnsi" w:hAnsiTheme="minorHAnsi" w:cs="Arial"/>
          <w:sz w:val="22"/>
          <w:szCs w:val="22"/>
        </w:rPr>
      </w:pPr>
    </w:p>
    <w:p w14:paraId="58FA4E41" w14:textId="77777777" w:rsidR="00F315CB" w:rsidRDefault="00F315CB" w:rsidP="00F315CB">
      <w:pPr>
        <w:pStyle w:val="Pta"/>
        <w:tabs>
          <w:tab w:val="left" w:pos="708"/>
        </w:tabs>
        <w:contextualSpacing/>
        <w:rPr>
          <w:rFonts w:asciiTheme="minorHAnsi" w:hAnsiTheme="minorHAnsi" w:cs="Arial"/>
          <w:b/>
          <w:sz w:val="28"/>
          <w:szCs w:val="28"/>
          <w:u w:val="single"/>
        </w:rPr>
      </w:pPr>
      <w:r w:rsidRPr="00F315CB">
        <w:rPr>
          <w:rFonts w:asciiTheme="minorHAnsi" w:hAnsiTheme="minorHAnsi" w:cs="Arial"/>
          <w:b/>
          <w:sz w:val="28"/>
          <w:szCs w:val="28"/>
          <w:u w:val="single"/>
        </w:rPr>
        <w:t>3.</w:t>
      </w:r>
      <w:r>
        <w:rPr>
          <w:rFonts w:asciiTheme="minorHAnsi" w:hAnsiTheme="minorHAnsi" w:cs="Arial"/>
          <w:b/>
          <w:sz w:val="28"/>
          <w:szCs w:val="28"/>
          <w:u w:val="single"/>
        </w:rPr>
        <w:t xml:space="preserve"> TECHNICKÉ RIEŠENIE:</w:t>
      </w:r>
    </w:p>
    <w:p w14:paraId="276FC617" w14:textId="77777777" w:rsidR="00B65D20" w:rsidRPr="002C30DE" w:rsidRDefault="00B65D20" w:rsidP="00F315CB">
      <w:pPr>
        <w:pStyle w:val="Pta"/>
        <w:tabs>
          <w:tab w:val="left" w:pos="708"/>
        </w:tabs>
        <w:contextualSpacing/>
        <w:rPr>
          <w:rFonts w:asciiTheme="minorHAnsi" w:hAnsiTheme="minorHAnsi" w:cs="Arial"/>
          <w:sz w:val="22"/>
          <w:szCs w:val="22"/>
        </w:rPr>
      </w:pPr>
    </w:p>
    <w:p w14:paraId="060F2345" w14:textId="5E33556D" w:rsidR="00CC1B05" w:rsidRPr="00D219DE" w:rsidRDefault="001E5554" w:rsidP="00CC1B05">
      <w:pPr>
        <w:pStyle w:val="Pta"/>
        <w:tabs>
          <w:tab w:val="left" w:pos="708"/>
        </w:tabs>
        <w:contextualSpacing/>
        <w:rPr>
          <w:rFonts w:asciiTheme="minorHAnsi" w:hAnsiTheme="minorHAnsi" w:cs="Arial"/>
          <w:b/>
          <w:sz w:val="22"/>
          <w:szCs w:val="22"/>
          <w:u w:val="single"/>
        </w:rPr>
      </w:pPr>
      <w:r>
        <w:rPr>
          <w:rFonts w:asciiTheme="minorHAnsi" w:hAnsiTheme="minorHAnsi" w:cs="Arial"/>
          <w:b/>
          <w:sz w:val="22"/>
          <w:szCs w:val="22"/>
          <w:u w:val="single"/>
        </w:rPr>
        <w:t xml:space="preserve">3.1 </w:t>
      </w:r>
      <w:r w:rsidR="00E62EF5">
        <w:rPr>
          <w:rFonts w:asciiTheme="minorHAnsi" w:hAnsiTheme="minorHAnsi" w:cs="Arial"/>
          <w:b/>
          <w:sz w:val="22"/>
          <w:szCs w:val="22"/>
          <w:u w:val="single"/>
        </w:rPr>
        <w:t>Všeobecný popis riešenia:</w:t>
      </w:r>
    </w:p>
    <w:p w14:paraId="04F71C93" w14:textId="13E19540" w:rsidR="00404492" w:rsidRPr="00404492" w:rsidRDefault="00404492" w:rsidP="00404492">
      <w:pPr>
        <w:ind w:firstLine="360"/>
        <w:jc w:val="both"/>
        <w:rPr>
          <w:rFonts w:ascii="Calibri" w:hAnsi="Calibri" w:cs="Calibri"/>
          <w:sz w:val="22"/>
          <w:szCs w:val="22"/>
        </w:rPr>
      </w:pPr>
      <w:r w:rsidRPr="00404492">
        <w:rPr>
          <w:rFonts w:ascii="Calibri" w:hAnsi="Calibri" w:cs="Calibri"/>
          <w:sz w:val="22"/>
          <w:szCs w:val="22"/>
        </w:rPr>
        <w:t>Z dôvodu flexibility a jednoznačného riadenia vozidiel v priradených jazdných pruhov, ktoré vstupujú do SR alebo vystupujú zo SR, budú na prechode použité exteriérové LED displeje.  Každý displej bude umiestnený nad samostatným jazdným pruhom pod strechou prechodu tak, aby bolo jasne viditeľný zo vzdialenosti 50 až 100 m, čím sa cestujúcim zjednoduší radenie do správneho jazdného pruhu. Na displejoch bude možné zobraziť akýkoľvek obsah podľa potreby užívateľa. Primárne bude slúžiť na zobrazenie informácií pre radenie vozidiel a to:</w:t>
      </w:r>
    </w:p>
    <w:p w14:paraId="170FE5FB" w14:textId="77777777" w:rsidR="00404492" w:rsidRPr="00404492" w:rsidRDefault="00404492" w:rsidP="00404492">
      <w:pPr>
        <w:pStyle w:val="Odsekzoznamu"/>
        <w:numPr>
          <w:ilvl w:val="0"/>
          <w:numId w:val="22"/>
        </w:numPr>
        <w:spacing w:after="160" w:line="259" w:lineRule="auto"/>
        <w:jc w:val="both"/>
        <w:rPr>
          <w:rFonts w:ascii="Calibri" w:hAnsi="Calibri" w:cs="Calibri"/>
          <w:sz w:val="22"/>
          <w:szCs w:val="22"/>
        </w:rPr>
      </w:pPr>
      <w:r w:rsidRPr="00404492">
        <w:rPr>
          <w:rFonts w:ascii="Calibri" w:hAnsi="Calibri" w:cs="Calibri"/>
          <w:sz w:val="22"/>
          <w:szCs w:val="22"/>
        </w:rPr>
        <w:t>Zobrazenie semaforu ( zelený kruh – pruh otvorený, červený kríž – pruh uzavretý )</w:t>
      </w:r>
    </w:p>
    <w:p w14:paraId="57F698F6" w14:textId="77777777" w:rsidR="00404492" w:rsidRPr="00404492" w:rsidRDefault="00404492" w:rsidP="00404492">
      <w:pPr>
        <w:pStyle w:val="Odsekzoznamu"/>
        <w:numPr>
          <w:ilvl w:val="0"/>
          <w:numId w:val="22"/>
        </w:numPr>
        <w:spacing w:after="160" w:line="259" w:lineRule="auto"/>
        <w:jc w:val="both"/>
        <w:rPr>
          <w:rFonts w:ascii="Calibri" w:hAnsi="Calibri" w:cs="Calibri"/>
          <w:sz w:val="22"/>
          <w:szCs w:val="22"/>
        </w:rPr>
      </w:pPr>
      <w:r w:rsidRPr="00404492">
        <w:rPr>
          <w:rFonts w:ascii="Calibri" w:hAnsi="Calibri" w:cs="Calibri"/>
          <w:sz w:val="22"/>
          <w:szCs w:val="22"/>
        </w:rPr>
        <w:lastRenderedPageBreak/>
        <w:t>EU vozidlá</w:t>
      </w:r>
    </w:p>
    <w:p w14:paraId="2A56F9D9" w14:textId="77777777" w:rsidR="00404492" w:rsidRPr="00404492" w:rsidRDefault="00404492" w:rsidP="00404492">
      <w:pPr>
        <w:pStyle w:val="Odsekzoznamu"/>
        <w:numPr>
          <w:ilvl w:val="0"/>
          <w:numId w:val="22"/>
        </w:numPr>
        <w:spacing w:after="160" w:line="259" w:lineRule="auto"/>
        <w:jc w:val="both"/>
        <w:rPr>
          <w:rFonts w:ascii="Calibri" w:hAnsi="Calibri" w:cs="Calibri"/>
          <w:sz w:val="22"/>
          <w:szCs w:val="22"/>
        </w:rPr>
      </w:pPr>
      <w:r w:rsidRPr="00404492">
        <w:rPr>
          <w:rFonts w:ascii="Calibri" w:hAnsi="Calibri" w:cs="Calibri"/>
          <w:sz w:val="22"/>
          <w:szCs w:val="22"/>
        </w:rPr>
        <w:t>NON EU vozidlá</w:t>
      </w:r>
    </w:p>
    <w:p w14:paraId="65BBC38F" w14:textId="77777777" w:rsidR="00404492" w:rsidRPr="00404492" w:rsidRDefault="00404492" w:rsidP="00404492">
      <w:pPr>
        <w:pStyle w:val="Odsekzoznamu"/>
        <w:numPr>
          <w:ilvl w:val="0"/>
          <w:numId w:val="22"/>
        </w:numPr>
        <w:spacing w:after="160" w:line="259" w:lineRule="auto"/>
        <w:jc w:val="both"/>
        <w:rPr>
          <w:rFonts w:ascii="Calibri" w:hAnsi="Calibri" w:cs="Calibri"/>
          <w:sz w:val="22"/>
          <w:szCs w:val="22"/>
        </w:rPr>
      </w:pPr>
      <w:r w:rsidRPr="00404492">
        <w:rPr>
          <w:rFonts w:ascii="Calibri" w:hAnsi="Calibri" w:cs="Calibri"/>
          <w:sz w:val="22"/>
          <w:szCs w:val="22"/>
        </w:rPr>
        <w:t>Diplomatická služba</w:t>
      </w:r>
    </w:p>
    <w:p w14:paraId="6F4A3AF5" w14:textId="77777777" w:rsidR="00404492" w:rsidRPr="00404492" w:rsidRDefault="00404492" w:rsidP="00404492">
      <w:pPr>
        <w:pStyle w:val="Odsekzoznamu"/>
        <w:numPr>
          <w:ilvl w:val="0"/>
          <w:numId w:val="22"/>
        </w:numPr>
        <w:spacing w:after="160" w:line="259" w:lineRule="auto"/>
        <w:jc w:val="both"/>
        <w:rPr>
          <w:rFonts w:ascii="Calibri" w:hAnsi="Calibri" w:cs="Calibri"/>
          <w:sz w:val="22"/>
          <w:szCs w:val="22"/>
        </w:rPr>
      </w:pPr>
      <w:r w:rsidRPr="00404492">
        <w:rPr>
          <w:rFonts w:ascii="Calibri" w:hAnsi="Calibri" w:cs="Calibri"/>
          <w:sz w:val="22"/>
          <w:szCs w:val="22"/>
        </w:rPr>
        <w:t>Piktogram osobného vozidla</w:t>
      </w:r>
    </w:p>
    <w:p w14:paraId="0DC4CC6E" w14:textId="77777777" w:rsidR="00404492" w:rsidRPr="00404492" w:rsidRDefault="00404492" w:rsidP="00404492">
      <w:pPr>
        <w:pStyle w:val="Odsekzoznamu"/>
        <w:numPr>
          <w:ilvl w:val="0"/>
          <w:numId w:val="22"/>
        </w:numPr>
        <w:spacing w:after="160" w:line="259" w:lineRule="auto"/>
        <w:jc w:val="both"/>
        <w:rPr>
          <w:rFonts w:ascii="Calibri" w:hAnsi="Calibri" w:cs="Calibri"/>
          <w:sz w:val="22"/>
          <w:szCs w:val="22"/>
        </w:rPr>
      </w:pPr>
      <w:r w:rsidRPr="00404492">
        <w:rPr>
          <w:rFonts w:ascii="Calibri" w:hAnsi="Calibri" w:cs="Calibri"/>
          <w:sz w:val="22"/>
          <w:szCs w:val="22"/>
        </w:rPr>
        <w:t>Čas, dátum, teplota....</w:t>
      </w:r>
    </w:p>
    <w:p w14:paraId="51E36284" w14:textId="77777777" w:rsidR="00404492" w:rsidRPr="00404492" w:rsidRDefault="00404492" w:rsidP="00404492">
      <w:pPr>
        <w:pStyle w:val="Odsekzoznamu"/>
        <w:numPr>
          <w:ilvl w:val="0"/>
          <w:numId w:val="22"/>
        </w:numPr>
        <w:spacing w:line="259" w:lineRule="auto"/>
        <w:jc w:val="both"/>
        <w:rPr>
          <w:rFonts w:ascii="Calibri" w:hAnsi="Calibri" w:cs="Calibri"/>
          <w:sz w:val="22"/>
          <w:szCs w:val="22"/>
        </w:rPr>
      </w:pPr>
      <w:r w:rsidRPr="00404492">
        <w:rPr>
          <w:rFonts w:ascii="Calibri" w:hAnsi="Calibri" w:cs="Calibri"/>
          <w:sz w:val="22"/>
          <w:szCs w:val="22"/>
        </w:rPr>
        <w:t>Atď.</w:t>
      </w:r>
    </w:p>
    <w:p w14:paraId="1B473188" w14:textId="77777777" w:rsidR="00404492" w:rsidRPr="00404492" w:rsidRDefault="00404492" w:rsidP="00404492">
      <w:pPr>
        <w:pStyle w:val="Odsekzoznamu"/>
        <w:jc w:val="both"/>
        <w:rPr>
          <w:rFonts w:ascii="Calibri" w:hAnsi="Calibri" w:cs="Calibri"/>
          <w:sz w:val="22"/>
          <w:szCs w:val="22"/>
        </w:rPr>
      </w:pPr>
    </w:p>
    <w:p w14:paraId="1543DE23" w14:textId="5D4AE91E" w:rsidR="00404492" w:rsidRPr="00404492" w:rsidRDefault="00404492" w:rsidP="00404492">
      <w:pPr>
        <w:jc w:val="both"/>
        <w:rPr>
          <w:rFonts w:ascii="Calibri" w:hAnsi="Calibri" w:cs="Calibri"/>
          <w:sz w:val="22"/>
          <w:szCs w:val="22"/>
        </w:rPr>
      </w:pPr>
      <w:r w:rsidRPr="00404492">
        <w:rPr>
          <w:rFonts w:ascii="Calibri" w:hAnsi="Calibri" w:cs="Calibri"/>
          <w:sz w:val="22"/>
          <w:szCs w:val="22"/>
        </w:rPr>
        <w:t>Systém displejov bude riadený z jestvujúceho servera MagicInfo</w:t>
      </w:r>
      <w:r>
        <w:rPr>
          <w:rFonts w:ascii="Calibri" w:hAnsi="Calibri" w:cs="Calibri"/>
          <w:sz w:val="22"/>
          <w:szCs w:val="22"/>
        </w:rPr>
        <w:t xml:space="preserve"> nachádzajúceho sa v dátovom rozvádzači v budove Colnice na 1.NP</w:t>
      </w:r>
      <w:r w:rsidRPr="00404492">
        <w:rPr>
          <w:rFonts w:ascii="Calibri" w:hAnsi="Calibri" w:cs="Calibri"/>
          <w:sz w:val="22"/>
          <w:szCs w:val="22"/>
        </w:rPr>
        <w:t>.</w:t>
      </w:r>
      <w:r>
        <w:rPr>
          <w:rFonts w:ascii="Calibri" w:hAnsi="Calibri" w:cs="Calibri"/>
          <w:sz w:val="22"/>
          <w:szCs w:val="22"/>
        </w:rPr>
        <w:t xml:space="preserve"> Do tohto Racku sa </w:t>
      </w:r>
      <w:r w:rsidRPr="00404492">
        <w:rPr>
          <w:rFonts w:ascii="Calibri" w:hAnsi="Calibri" w:cs="Calibri"/>
          <w:sz w:val="22"/>
          <w:szCs w:val="22"/>
        </w:rPr>
        <w:t>umiestn</w:t>
      </w:r>
      <w:r>
        <w:rPr>
          <w:rFonts w:ascii="Calibri" w:hAnsi="Calibri" w:cs="Calibri"/>
          <w:sz w:val="22"/>
          <w:szCs w:val="22"/>
        </w:rPr>
        <w:t>ia</w:t>
      </w:r>
      <w:r w:rsidRPr="00404492">
        <w:rPr>
          <w:rFonts w:ascii="Calibri" w:hAnsi="Calibri" w:cs="Calibri"/>
          <w:sz w:val="22"/>
          <w:szCs w:val="22"/>
        </w:rPr>
        <w:t xml:space="preserve"> riadiace jednotky pre každý displej.</w:t>
      </w:r>
    </w:p>
    <w:p w14:paraId="67ADB33D" w14:textId="2AA0CE6C" w:rsidR="00404492" w:rsidRPr="00404492" w:rsidRDefault="00404492" w:rsidP="00404492">
      <w:pPr>
        <w:jc w:val="both"/>
        <w:rPr>
          <w:rFonts w:ascii="Calibri" w:hAnsi="Calibri" w:cs="Calibri"/>
          <w:sz w:val="22"/>
          <w:szCs w:val="22"/>
        </w:rPr>
      </w:pPr>
      <w:r w:rsidRPr="00404492">
        <w:rPr>
          <w:rFonts w:ascii="Calibri" w:hAnsi="Calibri" w:cs="Calibri"/>
          <w:sz w:val="22"/>
          <w:szCs w:val="22"/>
        </w:rPr>
        <w:t>Displeje pre výstup zo SR budú pripojené do dátového rozvádzača DR</w:t>
      </w:r>
      <w:r>
        <w:rPr>
          <w:rFonts w:ascii="Calibri" w:hAnsi="Calibri" w:cs="Calibri"/>
          <w:sz w:val="22"/>
          <w:szCs w:val="22"/>
        </w:rPr>
        <w:t>20.</w:t>
      </w:r>
    </w:p>
    <w:p w14:paraId="0DC212CA" w14:textId="2E623315" w:rsidR="00404492" w:rsidRPr="00404492" w:rsidRDefault="00404492" w:rsidP="00404492">
      <w:pPr>
        <w:jc w:val="both"/>
        <w:rPr>
          <w:rFonts w:ascii="Calibri" w:hAnsi="Calibri" w:cs="Calibri"/>
          <w:sz w:val="22"/>
          <w:szCs w:val="22"/>
        </w:rPr>
      </w:pPr>
      <w:r w:rsidRPr="00404492">
        <w:rPr>
          <w:rFonts w:ascii="Calibri" w:hAnsi="Calibri" w:cs="Calibri"/>
          <w:sz w:val="22"/>
          <w:szCs w:val="22"/>
        </w:rPr>
        <w:t>Displeje pre vstup do SR budú pripojené do dátového rozvádzača DR</w:t>
      </w:r>
      <w:r>
        <w:rPr>
          <w:rFonts w:ascii="Calibri" w:hAnsi="Calibri" w:cs="Calibri"/>
          <w:sz w:val="22"/>
          <w:szCs w:val="22"/>
        </w:rPr>
        <w:t>13</w:t>
      </w:r>
      <w:r w:rsidRPr="00404492">
        <w:rPr>
          <w:rFonts w:ascii="Calibri" w:hAnsi="Calibri" w:cs="Calibri"/>
          <w:sz w:val="22"/>
          <w:szCs w:val="22"/>
        </w:rPr>
        <w:t>.</w:t>
      </w:r>
    </w:p>
    <w:p w14:paraId="6E73B9F0" w14:textId="77777777" w:rsidR="00BC7B90" w:rsidRDefault="00BC7B90" w:rsidP="00F315CB">
      <w:pPr>
        <w:pStyle w:val="Pta"/>
        <w:tabs>
          <w:tab w:val="left" w:pos="708"/>
        </w:tabs>
        <w:contextualSpacing/>
        <w:rPr>
          <w:rFonts w:asciiTheme="minorHAnsi" w:hAnsiTheme="minorHAnsi" w:cs="Arial"/>
          <w:sz w:val="22"/>
          <w:szCs w:val="22"/>
        </w:rPr>
      </w:pPr>
    </w:p>
    <w:p w14:paraId="39DC9522" w14:textId="53683872" w:rsidR="001173A4" w:rsidRDefault="001173A4" w:rsidP="001173A4">
      <w:pPr>
        <w:rPr>
          <w:rFonts w:ascii="Calibri" w:hAnsi="Calibri"/>
          <w:b/>
          <w:sz w:val="22"/>
          <w:szCs w:val="22"/>
          <w:u w:val="single"/>
        </w:rPr>
      </w:pPr>
      <w:r w:rsidRPr="00160C3A">
        <w:rPr>
          <w:rFonts w:asciiTheme="minorHAnsi" w:hAnsiTheme="minorHAnsi"/>
          <w:b/>
          <w:sz w:val="22"/>
          <w:szCs w:val="22"/>
          <w:u w:val="single"/>
        </w:rPr>
        <w:t>3.</w:t>
      </w:r>
      <w:r w:rsidR="00404492">
        <w:rPr>
          <w:rFonts w:asciiTheme="minorHAnsi" w:hAnsiTheme="minorHAnsi"/>
          <w:b/>
          <w:sz w:val="22"/>
          <w:szCs w:val="22"/>
          <w:u w:val="single"/>
        </w:rPr>
        <w:t>2</w:t>
      </w:r>
      <w:r w:rsidRPr="00160C3A">
        <w:rPr>
          <w:rFonts w:asciiTheme="minorHAnsi" w:hAnsiTheme="minorHAnsi"/>
          <w:b/>
          <w:sz w:val="22"/>
          <w:szCs w:val="22"/>
          <w:u w:val="single"/>
        </w:rPr>
        <w:t xml:space="preserve"> Vyhodnotenie neodstrániteľných nebezpečenstiev a ohrození podľa §4 </w:t>
      </w:r>
      <w:r>
        <w:rPr>
          <w:rFonts w:asciiTheme="minorHAnsi" w:hAnsiTheme="minorHAnsi"/>
          <w:b/>
          <w:sz w:val="22"/>
          <w:szCs w:val="22"/>
          <w:u w:val="single"/>
        </w:rPr>
        <w:t>čl</w:t>
      </w:r>
      <w:r w:rsidRPr="00160C3A">
        <w:rPr>
          <w:rFonts w:asciiTheme="minorHAnsi" w:hAnsiTheme="minorHAnsi"/>
          <w:b/>
          <w:sz w:val="22"/>
          <w:szCs w:val="22"/>
          <w:u w:val="single"/>
        </w:rPr>
        <w:t>.</w:t>
      </w:r>
      <w:r>
        <w:rPr>
          <w:rFonts w:asciiTheme="minorHAnsi" w:hAnsiTheme="minorHAnsi"/>
          <w:b/>
          <w:sz w:val="22"/>
          <w:szCs w:val="22"/>
          <w:u w:val="single"/>
        </w:rPr>
        <w:t>1</w:t>
      </w:r>
      <w:r w:rsidRPr="00160C3A">
        <w:rPr>
          <w:rFonts w:asciiTheme="minorHAnsi" w:hAnsiTheme="minorHAnsi"/>
          <w:b/>
          <w:sz w:val="22"/>
          <w:szCs w:val="22"/>
          <w:u w:val="single"/>
        </w:rPr>
        <w:t xml:space="preserve"> </w:t>
      </w:r>
      <w:r>
        <w:rPr>
          <w:rFonts w:asciiTheme="minorHAnsi" w:hAnsiTheme="minorHAnsi"/>
          <w:b/>
          <w:sz w:val="22"/>
          <w:szCs w:val="22"/>
          <w:u w:val="single"/>
        </w:rPr>
        <w:t>zákona</w:t>
      </w:r>
      <w:r w:rsidRPr="00160C3A">
        <w:rPr>
          <w:rFonts w:asciiTheme="minorHAnsi" w:hAnsiTheme="minorHAnsi"/>
          <w:b/>
          <w:sz w:val="22"/>
          <w:szCs w:val="22"/>
          <w:u w:val="single"/>
        </w:rPr>
        <w:t xml:space="preserve"> č. </w:t>
      </w:r>
      <w:r>
        <w:rPr>
          <w:rFonts w:asciiTheme="minorHAnsi" w:hAnsiTheme="minorHAnsi"/>
          <w:b/>
          <w:sz w:val="22"/>
          <w:szCs w:val="22"/>
          <w:u w:val="single"/>
        </w:rPr>
        <w:t>124</w:t>
      </w:r>
      <w:r w:rsidRPr="00160C3A">
        <w:rPr>
          <w:rFonts w:asciiTheme="minorHAnsi" w:hAnsiTheme="minorHAnsi"/>
          <w:b/>
          <w:sz w:val="22"/>
          <w:szCs w:val="22"/>
          <w:u w:val="single"/>
        </w:rPr>
        <w:t>/2</w:t>
      </w:r>
      <w:r>
        <w:rPr>
          <w:rFonts w:asciiTheme="minorHAnsi" w:hAnsiTheme="minorHAnsi"/>
          <w:b/>
          <w:sz w:val="22"/>
          <w:szCs w:val="22"/>
          <w:u w:val="single"/>
        </w:rPr>
        <w:t>006</w:t>
      </w:r>
      <w:r w:rsidRPr="00160C3A">
        <w:rPr>
          <w:rFonts w:asciiTheme="minorHAnsi" w:hAnsiTheme="minorHAnsi"/>
          <w:b/>
          <w:sz w:val="22"/>
          <w:szCs w:val="22"/>
          <w:u w:val="single"/>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3"/>
        <w:gridCol w:w="2241"/>
        <w:gridCol w:w="2481"/>
        <w:gridCol w:w="1909"/>
      </w:tblGrid>
      <w:tr w:rsidR="003E13FF" w:rsidRPr="00283BB1" w14:paraId="4FD3283C" w14:textId="77777777" w:rsidTr="003E13FF">
        <w:tc>
          <w:tcPr>
            <w:tcW w:w="0" w:type="auto"/>
          </w:tcPr>
          <w:p w14:paraId="2089AE31" w14:textId="77777777" w:rsidR="003E13FF" w:rsidRPr="003E13FF" w:rsidRDefault="003E13FF" w:rsidP="00CC1B05">
            <w:pPr>
              <w:ind w:right="567"/>
              <w:rPr>
                <w:rFonts w:asciiTheme="minorHAnsi" w:hAnsiTheme="minorHAnsi"/>
                <w:sz w:val="22"/>
                <w:szCs w:val="22"/>
              </w:rPr>
            </w:pPr>
            <w:r w:rsidRPr="003E13FF">
              <w:rPr>
                <w:rFonts w:asciiTheme="minorHAnsi" w:hAnsiTheme="minorHAnsi"/>
                <w:sz w:val="22"/>
                <w:szCs w:val="22"/>
              </w:rPr>
              <w:t>Faktor pracovného procesu a prostredia</w:t>
            </w:r>
          </w:p>
        </w:tc>
        <w:tc>
          <w:tcPr>
            <w:tcW w:w="2241" w:type="dxa"/>
          </w:tcPr>
          <w:p w14:paraId="5CEC5847" w14:textId="77777777" w:rsidR="003E13FF" w:rsidRPr="003E13FF" w:rsidRDefault="003E13FF" w:rsidP="00CC1B05">
            <w:pPr>
              <w:ind w:right="567"/>
              <w:rPr>
                <w:rFonts w:asciiTheme="minorHAnsi" w:hAnsiTheme="minorHAnsi"/>
                <w:sz w:val="22"/>
                <w:szCs w:val="22"/>
              </w:rPr>
            </w:pPr>
            <w:r w:rsidRPr="003E13FF">
              <w:rPr>
                <w:rFonts w:asciiTheme="minorHAnsi" w:hAnsiTheme="minorHAnsi"/>
                <w:sz w:val="22"/>
                <w:szCs w:val="22"/>
              </w:rPr>
              <w:t>Neodstrániteľné nebezpečenstvo</w:t>
            </w:r>
          </w:p>
        </w:tc>
        <w:tc>
          <w:tcPr>
            <w:tcW w:w="0" w:type="auto"/>
          </w:tcPr>
          <w:p w14:paraId="72038AC2" w14:textId="77777777" w:rsidR="003E13FF" w:rsidRPr="003E13FF" w:rsidRDefault="003E13FF" w:rsidP="00CC1B05">
            <w:pPr>
              <w:rPr>
                <w:rFonts w:asciiTheme="minorHAnsi" w:hAnsiTheme="minorHAnsi"/>
                <w:b/>
                <w:sz w:val="22"/>
                <w:szCs w:val="22"/>
              </w:rPr>
            </w:pPr>
            <w:r w:rsidRPr="003E13FF">
              <w:rPr>
                <w:rFonts w:asciiTheme="minorHAnsi" w:hAnsiTheme="minorHAnsi"/>
                <w:sz w:val="22"/>
                <w:szCs w:val="22"/>
              </w:rPr>
              <w:t>Neodstrániteľné ohrozenie</w:t>
            </w:r>
          </w:p>
        </w:tc>
        <w:tc>
          <w:tcPr>
            <w:tcW w:w="1909" w:type="dxa"/>
          </w:tcPr>
          <w:p w14:paraId="0CEF350F" w14:textId="77777777" w:rsidR="003E13FF" w:rsidRPr="003E13FF" w:rsidRDefault="003E13FF" w:rsidP="00CC1B05">
            <w:pPr>
              <w:rPr>
                <w:rFonts w:asciiTheme="minorHAnsi" w:hAnsiTheme="minorHAnsi"/>
                <w:sz w:val="22"/>
                <w:szCs w:val="22"/>
              </w:rPr>
            </w:pPr>
            <w:r w:rsidRPr="003E13FF">
              <w:rPr>
                <w:rFonts w:asciiTheme="minorHAnsi" w:hAnsiTheme="minorHAnsi"/>
                <w:sz w:val="22"/>
                <w:szCs w:val="22"/>
              </w:rPr>
              <w:t>Návrh ochranných opatrení</w:t>
            </w:r>
          </w:p>
        </w:tc>
      </w:tr>
      <w:tr w:rsidR="003E13FF" w:rsidRPr="00283BB1" w14:paraId="2610B7E7" w14:textId="77777777" w:rsidTr="003E13FF">
        <w:tc>
          <w:tcPr>
            <w:tcW w:w="0" w:type="auto"/>
          </w:tcPr>
          <w:p w14:paraId="72BB70F1" w14:textId="77777777" w:rsidR="003E13FF" w:rsidRPr="003E13FF" w:rsidRDefault="003E13FF" w:rsidP="00CC1B05">
            <w:pPr>
              <w:rPr>
                <w:rFonts w:asciiTheme="minorHAnsi" w:hAnsiTheme="minorHAnsi"/>
                <w:sz w:val="22"/>
                <w:szCs w:val="22"/>
              </w:rPr>
            </w:pPr>
            <w:r w:rsidRPr="003E13FF">
              <w:rPr>
                <w:rFonts w:asciiTheme="minorHAnsi" w:hAnsiTheme="minorHAnsi"/>
                <w:sz w:val="22"/>
                <w:szCs w:val="22"/>
              </w:rPr>
              <w:t>Elektrická energia</w:t>
            </w:r>
          </w:p>
        </w:tc>
        <w:tc>
          <w:tcPr>
            <w:tcW w:w="2241" w:type="dxa"/>
          </w:tcPr>
          <w:p w14:paraId="1BE8C404" w14:textId="77777777" w:rsidR="003E13FF" w:rsidRPr="003E13FF" w:rsidRDefault="003E13FF" w:rsidP="00CC1B05">
            <w:pPr>
              <w:ind w:right="34"/>
              <w:rPr>
                <w:rFonts w:asciiTheme="minorHAnsi" w:hAnsiTheme="minorHAnsi"/>
                <w:sz w:val="22"/>
                <w:szCs w:val="22"/>
              </w:rPr>
            </w:pPr>
            <w:r w:rsidRPr="003E13FF">
              <w:rPr>
                <w:rFonts w:asciiTheme="minorHAnsi" w:hAnsiTheme="minorHAnsi"/>
                <w:sz w:val="22"/>
                <w:szCs w:val="22"/>
              </w:rPr>
              <w:t>Elektrické napätie a prúdy nebezpečné pre zdravie, život a majetok</w:t>
            </w:r>
          </w:p>
        </w:tc>
        <w:tc>
          <w:tcPr>
            <w:tcW w:w="0" w:type="auto"/>
          </w:tcPr>
          <w:p w14:paraId="4BB487AC" w14:textId="77777777" w:rsidR="003E13FF" w:rsidRPr="003E13FF" w:rsidRDefault="003E13FF" w:rsidP="00CC1B05">
            <w:pPr>
              <w:ind w:right="567"/>
              <w:rPr>
                <w:rFonts w:asciiTheme="minorHAnsi" w:hAnsiTheme="minorHAnsi"/>
                <w:sz w:val="22"/>
                <w:szCs w:val="22"/>
              </w:rPr>
            </w:pPr>
            <w:r w:rsidRPr="003E13FF">
              <w:rPr>
                <w:rFonts w:asciiTheme="minorHAnsi" w:hAnsiTheme="minorHAnsi"/>
                <w:sz w:val="22"/>
                <w:szCs w:val="22"/>
              </w:rPr>
              <w:t>Elektrický skrat, vznik požiaru</w:t>
            </w:r>
          </w:p>
        </w:tc>
        <w:tc>
          <w:tcPr>
            <w:tcW w:w="1909" w:type="dxa"/>
          </w:tcPr>
          <w:p w14:paraId="67C5B07E" w14:textId="77777777" w:rsidR="003E13FF" w:rsidRPr="003E13FF" w:rsidRDefault="003E13FF" w:rsidP="00CC1B05">
            <w:pPr>
              <w:ind w:right="567"/>
              <w:rPr>
                <w:rFonts w:asciiTheme="minorHAnsi" w:hAnsiTheme="minorHAnsi"/>
                <w:sz w:val="22"/>
                <w:szCs w:val="22"/>
              </w:rPr>
            </w:pPr>
            <w:r w:rsidRPr="003E13FF">
              <w:rPr>
                <w:rFonts w:asciiTheme="minorHAnsi" w:hAnsiTheme="minorHAnsi"/>
                <w:sz w:val="22"/>
                <w:szCs w:val="22"/>
              </w:rPr>
              <w:t>Bod 1-8</w:t>
            </w:r>
          </w:p>
        </w:tc>
      </w:tr>
      <w:tr w:rsidR="003E13FF" w:rsidRPr="00283BB1" w14:paraId="3C0AFE02" w14:textId="77777777" w:rsidTr="003E13FF">
        <w:tc>
          <w:tcPr>
            <w:tcW w:w="0" w:type="auto"/>
          </w:tcPr>
          <w:p w14:paraId="6A6BE27F" w14:textId="77777777" w:rsidR="003E13FF" w:rsidRPr="003E13FF" w:rsidRDefault="003E13FF" w:rsidP="00CC1B05">
            <w:pPr>
              <w:ind w:right="28"/>
              <w:rPr>
                <w:rFonts w:asciiTheme="minorHAnsi" w:hAnsiTheme="minorHAnsi"/>
                <w:sz w:val="22"/>
                <w:szCs w:val="22"/>
              </w:rPr>
            </w:pPr>
            <w:r w:rsidRPr="003E13FF">
              <w:rPr>
                <w:rFonts w:asciiTheme="minorHAnsi" w:hAnsiTheme="minorHAnsi"/>
                <w:sz w:val="22"/>
                <w:szCs w:val="22"/>
              </w:rPr>
              <w:t>Elektrická energia</w:t>
            </w:r>
          </w:p>
        </w:tc>
        <w:tc>
          <w:tcPr>
            <w:tcW w:w="2241" w:type="dxa"/>
          </w:tcPr>
          <w:p w14:paraId="47DD0A36" w14:textId="77777777" w:rsidR="003E13FF" w:rsidRPr="003E13FF" w:rsidRDefault="003E13FF" w:rsidP="00CC1B05">
            <w:pPr>
              <w:rPr>
                <w:rFonts w:asciiTheme="minorHAnsi" w:hAnsiTheme="minorHAnsi"/>
                <w:b/>
                <w:sz w:val="22"/>
                <w:szCs w:val="22"/>
              </w:rPr>
            </w:pPr>
            <w:r w:rsidRPr="003E13FF">
              <w:rPr>
                <w:rFonts w:asciiTheme="minorHAnsi" w:hAnsiTheme="minorHAnsi"/>
                <w:sz w:val="22"/>
                <w:szCs w:val="22"/>
              </w:rPr>
              <w:t>Elektrické napätie a prúdy nebezpečné pre zdravie, život a majetok</w:t>
            </w:r>
          </w:p>
        </w:tc>
        <w:tc>
          <w:tcPr>
            <w:tcW w:w="0" w:type="auto"/>
          </w:tcPr>
          <w:p w14:paraId="05DD9EED" w14:textId="77777777" w:rsidR="003E13FF" w:rsidRPr="003E13FF" w:rsidRDefault="003E13FF" w:rsidP="00CC1B05">
            <w:pPr>
              <w:rPr>
                <w:rFonts w:asciiTheme="minorHAnsi" w:hAnsiTheme="minorHAnsi"/>
                <w:sz w:val="22"/>
                <w:szCs w:val="22"/>
              </w:rPr>
            </w:pPr>
            <w:r w:rsidRPr="003E13FF">
              <w:rPr>
                <w:rFonts w:asciiTheme="minorHAnsi" w:hAnsiTheme="minorHAnsi"/>
                <w:sz w:val="22"/>
                <w:szCs w:val="22"/>
              </w:rPr>
              <w:t xml:space="preserve">Dotyk živej časti v normálnej prevádzke </w:t>
            </w:r>
          </w:p>
        </w:tc>
        <w:tc>
          <w:tcPr>
            <w:tcW w:w="1909" w:type="dxa"/>
          </w:tcPr>
          <w:p w14:paraId="22268D64" w14:textId="77777777" w:rsidR="003E13FF" w:rsidRPr="003E13FF" w:rsidRDefault="003E13FF" w:rsidP="00CC1B05">
            <w:pPr>
              <w:ind w:right="567"/>
              <w:rPr>
                <w:rFonts w:asciiTheme="minorHAnsi" w:hAnsiTheme="minorHAnsi"/>
                <w:b/>
                <w:sz w:val="22"/>
                <w:szCs w:val="22"/>
              </w:rPr>
            </w:pPr>
            <w:r w:rsidRPr="003E13FF">
              <w:rPr>
                <w:rFonts w:asciiTheme="minorHAnsi" w:hAnsiTheme="minorHAnsi"/>
                <w:sz w:val="22"/>
                <w:szCs w:val="22"/>
              </w:rPr>
              <w:t>Bod 1-6, 8</w:t>
            </w:r>
          </w:p>
        </w:tc>
      </w:tr>
      <w:tr w:rsidR="003E13FF" w:rsidRPr="00283BB1" w14:paraId="097CBA3E" w14:textId="77777777" w:rsidTr="003E13FF">
        <w:tc>
          <w:tcPr>
            <w:tcW w:w="0" w:type="auto"/>
          </w:tcPr>
          <w:p w14:paraId="0CBF73E9" w14:textId="77777777" w:rsidR="003E13FF" w:rsidRPr="003E13FF" w:rsidRDefault="003E13FF" w:rsidP="00CC1B05">
            <w:pPr>
              <w:ind w:right="567"/>
              <w:rPr>
                <w:rFonts w:asciiTheme="minorHAnsi" w:hAnsiTheme="minorHAnsi"/>
                <w:b/>
                <w:sz w:val="22"/>
                <w:szCs w:val="22"/>
              </w:rPr>
            </w:pPr>
            <w:r w:rsidRPr="003E13FF">
              <w:rPr>
                <w:rFonts w:asciiTheme="minorHAnsi" w:hAnsiTheme="minorHAnsi"/>
                <w:sz w:val="22"/>
                <w:szCs w:val="22"/>
              </w:rPr>
              <w:t>Elektrická energia</w:t>
            </w:r>
          </w:p>
        </w:tc>
        <w:tc>
          <w:tcPr>
            <w:tcW w:w="2241" w:type="dxa"/>
          </w:tcPr>
          <w:p w14:paraId="27CE7BAD" w14:textId="77777777" w:rsidR="003E13FF" w:rsidRPr="003E13FF" w:rsidRDefault="003E13FF" w:rsidP="00CC1B05">
            <w:pPr>
              <w:ind w:right="567"/>
              <w:rPr>
                <w:rFonts w:asciiTheme="minorHAnsi" w:hAnsiTheme="minorHAnsi"/>
                <w:b/>
                <w:sz w:val="22"/>
                <w:szCs w:val="22"/>
              </w:rPr>
            </w:pPr>
            <w:r w:rsidRPr="003E13FF">
              <w:rPr>
                <w:rFonts w:asciiTheme="minorHAnsi" w:hAnsiTheme="minorHAnsi"/>
                <w:sz w:val="22"/>
                <w:szCs w:val="22"/>
              </w:rPr>
              <w:t>Elektrické napätie a prúdy nebezpečné pre zdravie, život a majetok</w:t>
            </w:r>
          </w:p>
        </w:tc>
        <w:tc>
          <w:tcPr>
            <w:tcW w:w="0" w:type="auto"/>
          </w:tcPr>
          <w:p w14:paraId="376B6102" w14:textId="77777777" w:rsidR="003E13FF" w:rsidRPr="003E13FF" w:rsidRDefault="003E13FF" w:rsidP="00CC1B05">
            <w:pPr>
              <w:rPr>
                <w:rFonts w:asciiTheme="minorHAnsi" w:hAnsiTheme="minorHAnsi"/>
                <w:b/>
                <w:sz w:val="22"/>
                <w:szCs w:val="22"/>
              </w:rPr>
            </w:pPr>
            <w:r w:rsidRPr="003E13FF">
              <w:rPr>
                <w:rFonts w:asciiTheme="minorHAnsi" w:hAnsiTheme="minorHAnsi"/>
                <w:sz w:val="22"/>
                <w:szCs w:val="22"/>
              </w:rPr>
              <w:t>Dotyk neživej časti poruche</w:t>
            </w:r>
          </w:p>
        </w:tc>
        <w:tc>
          <w:tcPr>
            <w:tcW w:w="1909" w:type="dxa"/>
          </w:tcPr>
          <w:p w14:paraId="2D75564E" w14:textId="77777777" w:rsidR="003E13FF" w:rsidRPr="003E13FF" w:rsidRDefault="003E13FF" w:rsidP="00CC1B05">
            <w:pPr>
              <w:ind w:right="567"/>
              <w:rPr>
                <w:rFonts w:asciiTheme="minorHAnsi" w:hAnsiTheme="minorHAnsi"/>
                <w:b/>
                <w:sz w:val="22"/>
                <w:szCs w:val="22"/>
              </w:rPr>
            </w:pPr>
            <w:r w:rsidRPr="003E13FF">
              <w:rPr>
                <w:rFonts w:asciiTheme="minorHAnsi" w:hAnsiTheme="minorHAnsi"/>
                <w:sz w:val="22"/>
                <w:szCs w:val="22"/>
              </w:rPr>
              <w:t>Bod 1-5, 7, 8</w:t>
            </w:r>
          </w:p>
        </w:tc>
      </w:tr>
    </w:tbl>
    <w:p w14:paraId="11019014" w14:textId="77777777" w:rsidR="003E13FF" w:rsidRPr="003E13FF" w:rsidRDefault="003E13FF" w:rsidP="003E13FF">
      <w:pPr>
        <w:rPr>
          <w:rFonts w:asciiTheme="minorHAnsi" w:hAnsiTheme="minorHAnsi"/>
          <w:sz w:val="22"/>
          <w:szCs w:val="22"/>
        </w:rPr>
      </w:pPr>
      <w:r w:rsidRPr="003E13FF">
        <w:rPr>
          <w:rFonts w:asciiTheme="minorHAnsi" w:hAnsiTheme="minorHAnsi"/>
          <w:sz w:val="22"/>
          <w:szCs w:val="22"/>
        </w:rPr>
        <w:t>Návrh ochranných opatrení:</w:t>
      </w:r>
    </w:p>
    <w:p w14:paraId="0401018C" w14:textId="77777777" w:rsidR="003E13FF" w:rsidRPr="003E13FF" w:rsidRDefault="003E13FF" w:rsidP="003E13FF">
      <w:pPr>
        <w:widowControl w:val="0"/>
        <w:numPr>
          <w:ilvl w:val="0"/>
          <w:numId w:val="21"/>
        </w:numPr>
        <w:adjustRightInd w:val="0"/>
        <w:jc w:val="both"/>
        <w:textAlignment w:val="baseline"/>
        <w:rPr>
          <w:rFonts w:asciiTheme="minorHAnsi" w:hAnsiTheme="minorHAnsi"/>
          <w:sz w:val="22"/>
          <w:szCs w:val="22"/>
        </w:rPr>
      </w:pPr>
      <w:r w:rsidRPr="003E13FF">
        <w:rPr>
          <w:rFonts w:asciiTheme="minorHAnsi" w:hAnsiTheme="minorHAnsi"/>
          <w:sz w:val="22"/>
          <w:szCs w:val="22"/>
        </w:rPr>
        <w:t>Poučenie obsluhy podľa § 23 vyhlášky č. 205/2010 Zb. o odbornej spôsobilosti v elektrotechnike.</w:t>
      </w:r>
    </w:p>
    <w:p w14:paraId="35A506C4" w14:textId="77777777" w:rsidR="003E13FF" w:rsidRPr="003E13FF" w:rsidRDefault="003E13FF" w:rsidP="003E13FF">
      <w:pPr>
        <w:widowControl w:val="0"/>
        <w:numPr>
          <w:ilvl w:val="0"/>
          <w:numId w:val="21"/>
        </w:numPr>
        <w:adjustRightInd w:val="0"/>
        <w:jc w:val="both"/>
        <w:textAlignment w:val="baseline"/>
        <w:rPr>
          <w:rFonts w:asciiTheme="minorHAnsi" w:hAnsiTheme="minorHAnsi"/>
          <w:sz w:val="22"/>
          <w:szCs w:val="22"/>
        </w:rPr>
      </w:pPr>
      <w:r w:rsidRPr="003E13FF">
        <w:rPr>
          <w:rFonts w:asciiTheme="minorHAnsi" w:hAnsiTheme="minorHAnsi"/>
          <w:sz w:val="22"/>
          <w:szCs w:val="22"/>
        </w:rPr>
        <w:t xml:space="preserve">Používanie osobných ochranných a pracovných pomôcok podľa príslušných predpisov a podľa zoznamu vypracovaného prevádzkovateľom. </w:t>
      </w:r>
    </w:p>
    <w:p w14:paraId="17015BCE" w14:textId="77777777" w:rsidR="003E13FF" w:rsidRPr="003E13FF" w:rsidRDefault="003E13FF" w:rsidP="003E13FF">
      <w:pPr>
        <w:widowControl w:val="0"/>
        <w:numPr>
          <w:ilvl w:val="0"/>
          <w:numId w:val="21"/>
        </w:numPr>
        <w:adjustRightInd w:val="0"/>
        <w:jc w:val="both"/>
        <w:textAlignment w:val="baseline"/>
        <w:rPr>
          <w:rFonts w:asciiTheme="minorHAnsi" w:hAnsiTheme="minorHAnsi"/>
          <w:sz w:val="22"/>
          <w:szCs w:val="22"/>
        </w:rPr>
      </w:pPr>
      <w:r w:rsidRPr="003E13FF">
        <w:rPr>
          <w:rFonts w:asciiTheme="minorHAnsi" w:hAnsiTheme="minorHAnsi"/>
          <w:sz w:val="22"/>
          <w:szCs w:val="22"/>
        </w:rPr>
        <w:t>Dodržiavanie zákazu vstupu nepovolaným osobám.</w:t>
      </w:r>
    </w:p>
    <w:p w14:paraId="2A2BB612" w14:textId="77777777" w:rsidR="003E13FF" w:rsidRPr="003E13FF" w:rsidRDefault="003E13FF" w:rsidP="003E13FF">
      <w:pPr>
        <w:widowControl w:val="0"/>
        <w:numPr>
          <w:ilvl w:val="0"/>
          <w:numId w:val="21"/>
        </w:numPr>
        <w:adjustRightInd w:val="0"/>
        <w:jc w:val="both"/>
        <w:textAlignment w:val="baseline"/>
        <w:rPr>
          <w:rFonts w:asciiTheme="minorHAnsi" w:hAnsiTheme="minorHAnsi"/>
          <w:sz w:val="22"/>
          <w:szCs w:val="22"/>
        </w:rPr>
      </w:pPr>
      <w:r w:rsidRPr="003E13FF">
        <w:rPr>
          <w:rFonts w:asciiTheme="minorHAnsi" w:hAnsiTheme="minorHAnsi"/>
          <w:sz w:val="22"/>
          <w:szCs w:val="22"/>
        </w:rPr>
        <w:t>Práce na elektrických zariadeniach môžu vykonávať len zamestnanci (fyzické osoby) s predpísanou kvalifikáciou podľa vyhlášky č. 205/2010 Zb.</w:t>
      </w:r>
    </w:p>
    <w:p w14:paraId="69F487E9" w14:textId="77777777" w:rsidR="003E13FF" w:rsidRPr="003E13FF" w:rsidRDefault="003E13FF" w:rsidP="003E13FF">
      <w:pPr>
        <w:widowControl w:val="0"/>
        <w:numPr>
          <w:ilvl w:val="0"/>
          <w:numId w:val="21"/>
        </w:numPr>
        <w:adjustRightInd w:val="0"/>
        <w:jc w:val="both"/>
        <w:textAlignment w:val="baseline"/>
        <w:rPr>
          <w:rFonts w:asciiTheme="minorHAnsi" w:hAnsiTheme="minorHAnsi"/>
          <w:sz w:val="22"/>
          <w:szCs w:val="22"/>
        </w:rPr>
      </w:pPr>
      <w:r w:rsidRPr="003E13FF">
        <w:rPr>
          <w:rFonts w:asciiTheme="minorHAnsi" w:hAnsiTheme="minorHAnsi"/>
          <w:sz w:val="22"/>
          <w:szCs w:val="22"/>
        </w:rPr>
        <w:t>Práce s otvoreným ohňom vykonávať len výnimočne na základe povolenia prevádzkovateľa.</w:t>
      </w:r>
    </w:p>
    <w:p w14:paraId="650ED866" w14:textId="77777777" w:rsidR="003E13FF" w:rsidRPr="003E13FF" w:rsidRDefault="003E13FF" w:rsidP="003E13FF">
      <w:pPr>
        <w:widowControl w:val="0"/>
        <w:numPr>
          <w:ilvl w:val="0"/>
          <w:numId w:val="21"/>
        </w:numPr>
        <w:adjustRightInd w:val="0"/>
        <w:jc w:val="both"/>
        <w:textAlignment w:val="baseline"/>
        <w:rPr>
          <w:rFonts w:asciiTheme="minorHAnsi" w:hAnsiTheme="minorHAnsi"/>
          <w:sz w:val="22"/>
          <w:szCs w:val="22"/>
        </w:rPr>
      </w:pPr>
      <w:r w:rsidRPr="003E13FF">
        <w:rPr>
          <w:rFonts w:asciiTheme="minorHAnsi" w:hAnsiTheme="minorHAnsi"/>
          <w:sz w:val="22"/>
          <w:szCs w:val="22"/>
        </w:rPr>
        <w:t>Ochrana pred zásahom elektrickým prúdom - základná ochrana v normálnej prevádzke</w:t>
      </w:r>
    </w:p>
    <w:p w14:paraId="0590AA55" w14:textId="77777777" w:rsidR="003E13FF" w:rsidRPr="003E13FF" w:rsidRDefault="003E13FF" w:rsidP="003E13FF">
      <w:pPr>
        <w:widowControl w:val="0"/>
        <w:numPr>
          <w:ilvl w:val="0"/>
          <w:numId w:val="21"/>
        </w:numPr>
        <w:adjustRightInd w:val="0"/>
        <w:jc w:val="both"/>
        <w:textAlignment w:val="baseline"/>
        <w:rPr>
          <w:rFonts w:asciiTheme="minorHAnsi" w:hAnsiTheme="minorHAnsi"/>
          <w:sz w:val="22"/>
          <w:szCs w:val="22"/>
        </w:rPr>
      </w:pPr>
      <w:r w:rsidRPr="003E13FF">
        <w:rPr>
          <w:rFonts w:asciiTheme="minorHAnsi" w:hAnsiTheme="minorHAnsi"/>
          <w:sz w:val="22"/>
          <w:szCs w:val="22"/>
        </w:rPr>
        <w:t>Ochrana pred zásahom elektrickým prúdom - ochrana pri poruche</w:t>
      </w:r>
    </w:p>
    <w:p w14:paraId="19E33A3A" w14:textId="77777777" w:rsidR="003E13FF" w:rsidRPr="003E13FF" w:rsidRDefault="003E13FF" w:rsidP="003E13FF">
      <w:pPr>
        <w:widowControl w:val="0"/>
        <w:numPr>
          <w:ilvl w:val="0"/>
          <w:numId w:val="21"/>
        </w:numPr>
        <w:adjustRightInd w:val="0"/>
        <w:jc w:val="both"/>
        <w:textAlignment w:val="baseline"/>
        <w:rPr>
          <w:rFonts w:asciiTheme="minorHAnsi" w:hAnsiTheme="minorHAnsi"/>
          <w:sz w:val="22"/>
          <w:szCs w:val="22"/>
        </w:rPr>
      </w:pPr>
      <w:r w:rsidRPr="003E13FF">
        <w:rPr>
          <w:rFonts w:asciiTheme="minorHAnsi" w:hAnsiTheme="minorHAnsi"/>
          <w:sz w:val="22"/>
          <w:szCs w:val="22"/>
        </w:rPr>
        <w:t>Revízie a prehliadky elektrických inštalácií vykonávané osobami s predpísanou elektrotechnickou kvalifikáciou.</w:t>
      </w:r>
    </w:p>
    <w:p w14:paraId="3D3D7127" w14:textId="03E7AF4A" w:rsidR="005D277D" w:rsidRDefault="003E13FF" w:rsidP="00CC1B05">
      <w:pPr>
        <w:widowControl w:val="0"/>
        <w:adjustRightInd w:val="0"/>
        <w:textAlignment w:val="baseline"/>
        <w:rPr>
          <w:rFonts w:asciiTheme="minorHAnsi" w:hAnsiTheme="minorHAnsi"/>
          <w:sz w:val="22"/>
          <w:szCs w:val="22"/>
        </w:rPr>
      </w:pPr>
      <w:r w:rsidRPr="003E13FF">
        <w:rPr>
          <w:rFonts w:asciiTheme="minorHAnsi" w:hAnsiTheme="minorHAnsi"/>
          <w:sz w:val="22"/>
          <w:szCs w:val="22"/>
        </w:rPr>
        <w:t xml:space="preserve">   Pri správnej montáži elektrickej inštalácie, pri uplatnení a dodržiavaní právnych predpisov, slovenských technických noriem, pokynov na obsluhu a údržbu a ostatných predpisov na zaistenie bezpečnosti a ochrany zdravia pri práci nevzniknú od elektrickej energie neodstrániteľné nebezpečenstvá a neodstrániteľné ohrozenia v zmysle uvedeného zákona.</w:t>
      </w:r>
    </w:p>
    <w:p w14:paraId="792AB3D7" w14:textId="77777777" w:rsidR="00AF6ACC" w:rsidRPr="00CC1B05" w:rsidRDefault="00AF6ACC" w:rsidP="00CC1B05">
      <w:pPr>
        <w:widowControl w:val="0"/>
        <w:adjustRightInd w:val="0"/>
        <w:textAlignment w:val="baseline"/>
        <w:rPr>
          <w:rFonts w:asciiTheme="minorHAnsi" w:hAnsiTheme="minorHAnsi"/>
          <w:sz w:val="22"/>
          <w:szCs w:val="22"/>
        </w:rPr>
      </w:pPr>
    </w:p>
    <w:p w14:paraId="764234AA" w14:textId="77777777" w:rsidR="005D277D" w:rsidRPr="00CD441D" w:rsidRDefault="005D277D" w:rsidP="005D277D">
      <w:pPr>
        <w:contextualSpacing/>
        <w:jc w:val="both"/>
        <w:rPr>
          <w:rFonts w:ascii="Calibri" w:hAnsi="Calibri" w:cs="Arial"/>
          <w:b/>
          <w:sz w:val="28"/>
          <w:szCs w:val="28"/>
          <w:u w:val="single"/>
        </w:rPr>
      </w:pPr>
      <w:r>
        <w:rPr>
          <w:rFonts w:ascii="Calibri" w:hAnsi="Calibri" w:cs="Arial"/>
          <w:b/>
          <w:sz w:val="28"/>
          <w:szCs w:val="28"/>
          <w:u w:val="single"/>
        </w:rPr>
        <w:t>4. VPLYV NA ŽIVOTNÉ PROSTREDIE A ODPADY</w:t>
      </w:r>
      <w:r w:rsidRPr="00CD441D">
        <w:rPr>
          <w:rFonts w:ascii="Calibri" w:hAnsi="Calibri" w:cs="Arial"/>
          <w:b/>
          <w:sz w:val="28"/>
          <w:szCs w:val="28"/>
          <w:u w:val="single"/>
        </w:rPr>
        <w:t>:</w:t>
      </w:r>
    </w:p>
    <w:p w14:paraId="64EB5DCF" w14:textId="77777777" w:rsidR="005D277D" w:rsidRDefault="005D277D" w:rsidP="005D277D">
      <w:pPr>
        <w:pStyle w:val="Pta"/>
        <w:tabs>
          <w:tab w:val="left" w:pos="708"/>
        </w:tabs>
        <w:contextualSpacing/>
        <w:rPr>
          <w:rFonts w:asciiTheme="minorHAnsi" w:hAnsiTheme="minorHAnsi" w:cstheme="minorHAnsi"/>
          <w:sz w:val="22"/>
        </w:rPr>
      </w:pPr>
      <w:r>
        <w:rPr>
          <w:rFonts w:asciiTheme="minorHAnsi" w:hAnsiTheme="minorHAnsi" w:cstheme="minorHAnsi"/>
          <w:sz w:val="22"/>
        </w:rPr>
        <w:t xml:space="preserve">         </w:t>
      </w:r>
      <w:r w:rsidRPr="00A51B32">
        <w:rPr>
          <w:rFonts w:asciiTheme="minorHAnsi" w:hAnsiTheme="minorHAnsi" w:cstheme="minorHAnsi"/>
          <w:sz w:val="22"/>
        </w:rPr>
        <w:t>Stavba,  nemá nepriaznivý vplyv na životné prostredie. Pri jej realizácií nedôjde k nepriaznivým vplyvom na okolité prostredie.</w:t>
      </w:r>
    </w:p>
    <w:p w14:paraId="347AB860" w14:textId="77777777" w:rsidR="005D277D" w:rsidRPr="00E42363" w:rsidRDefault="005D277D" w:rsidP="005D277D">
      <w:pPr>
        <w:autoSpaceDE w:val="0"/>
        <w:autoSpaceDN w:val="0"/>
        <w:adjustRightInd w:val="0"/>
        <w:jc w:val="both"/>
        <w:rPr>
          <w:rFonts w:asciiTheme="minorHAnsi" w:eastAsia="TimesNewRomanPSMT" w:hAnsiTheme="minorHAnsi" w:cstheme="minorHAnsi"/>
          <w:sz w:val="22"/>
          <w:szCs w:val="22"/>
          <w:lang w:eastAsia="sk-SK"/>
        </w:rPr>
      </w:pPr>
      <w:r w:rsidRPr="00E42363">
        <w:rPr>
          <w:rFonts w:asciiTheme="minorHAnsi" w:eastAsia="TimesNewRomanPSMT" w:hAnsiTheme="minorHAnsi" w:cstheme="minorHAnsi"/>
          <w:sz w:val="22"/>
          <w:szCs w:val="22"/>
          <w:lang w:eastAsia="sk-SK"/>
        </w:rPr>
        <w:t>Výstavba zámeru je spojená so vznikom odpadov. Pri výstavbe navrhovaného zámeru</w:t>
      </w:r>
      <w:r>
        <w:rPr>
          <w:rFonts w:asciiTheme="minorHAnsi" w:eastAsia="TimesNewRomanPSMT" w:hAnsiTheme="minorHAnsi" w:cstheme="minorHAnsi"/>
          <w:sz w:val="22"/>
          <w:szCs w:val="22"/>
          <w:lang w:eastAsia="sk-SK"/>
        </w:rPr>
        <w:t xml:space="preserve"> </w:t>
      </w:r>
      <w:r w:rsidRPr="00E42363">
        <w:rPr>
          <w:rFonts w:asciiTheme="minorHAnsi" w:eastAsia="TimesNewRomanPSMT" w:hAnsiTheme="minorHAnsi" w:cstheme="minorHAnsi"/>
          <w:sz w:val="22"/>
          <w:szCs w:val="22"/>
          <w:lang w:eastAsia="sk-SK"/>
        </w:rPr>
        <w:t>je predpoklad vzniku odpadov kategórií O – ostatný</w:t>
      </w:r>
      <w:r>
        <w:rPr>
          <w:rFonts w:asciiTheme="minorHAnsi" w:eastAsia="TimesNewRomanPSMT" w:hAnsiTheme="minorHAnsi" w:cstheme="minorHAnsi"/>
          <w:sz w:val="22"/>
          <w:szCs w:val="22"/>
          <w:lang w:eastAsia="sk-SK"/>
        </w:rPr>
        <w:t>ch</w:t>
      </w:r>
      <w:r w:rsidRPr="00E42363">
        <w:rPr>
          <w:rFonts w:asciiTheme="minorHAnsi" w:eastAsia="TimesNewRomanPSMT" w:hAnsiTheme="minorHAnsi" w:cstheme="minorHAnsi"/>
          <w:sz w:val="22"/>
          <w:szCs w:val="22"/>
          <w:lang w:eastAsia="sk-SK"/>
        </w:rPr>
        <w:t>. V priebehu výstavby</w:t>
      </w:r>
      <w:r>
        <w:rPr>
          <w:rFonts w:asciiTheme="minorHAnsi" w:eastAsia="TimesNewRomanPSMT" w:hAnsiTheme="minorHAnsi" w:cstheme="minorHAnsi"/>
          <w:sz w:val="22"/>
          <w:szCs w:val="22"/>
          <w:lang w:eastAsia="sk-SK"/>
        </w:rPr>
        <w:t xml:space="preserve"> na objekte</w:t>
      </w:r>
      <w:r w:rsidRPr="00E42363">
        <w:rPr>
          <w:rFonts w:asciiTheme="minorHAnsi" w:eastAsia="TimesNewRomanPSMT" w:hAnsiTheme="minorHAnsi" w:cstheme="minorHAnsi"/>
          <w:sz w:val="22"/>
          <w:szCs w:val="22"/>
          <w:lang w:eastAsia="sk-SK"/>
        </w:rPr>
        <w:t xml:space="preserve"> vzniknú predovšetkým odpady, ktoré patria do skupiny 17 – stavebné odpady a</w:t>
      </w:r>
      <w:r>
        <w:rPr>
          <w:rFonts w:asciiTheme="minorHAnsi" w:eastAsia="TimesNewRomanPSMT" w:hAnsiTheme="minorHAnsi" w:cstheme="minorHAnsi"/>
          <w:sz w:val="22"/>
          <w:szCs w:val="22"/>
          <w:lang w:eastAsia="sk-SK"/>
        </w:rPr>
        <w:t> </w:t>
      </w:r>
      <w:r w:rsidRPr="00E42363">
        <w:rPr>
          <w:rFonts w:asciiTheme="minorHAnsi" w:eastAsia="TimesNewRomanPSMT" w:hAnsiTheme="minorHAnsi" w:cstheme="minorHAnsi"/>
          <w:sz w:val="22"/>
          <w:szCs w:val="22"/>
          <w:lang w:eastAsia="sk-SK"/>
        </w:rPr>
        <w:t>odpady</w:t>
      </w:r>
      <w:r>
        <w:rPr>
          <w:rFonts w:asciiTheme="minorHAnsi" w:eastAsia="TimesNewRomanPSMT" w:hAnsiTheme="minorHAnsi" w:cstheme="minorHAnsi"/>
          <w:sz w:val="22"/>
          <w:szCs w:val="22"/>
          <w:lang w:eastAsia="sk-SK"/>
        </w:rPr>
        <w:t xml:space="preserve"> </w:t>
      </w:r>
      <w:r w:rsidRPr="00E42363">
        <w:rPr>
          <w:rFonts w:asciiTheme="minorHAnsi" w:eastAsia="TimesNewRomanPSMT" w:hAnsiTheme="minorHAnsi" w:cstheme="minorHAnsi"/>
          <w:sz w:val="22"/>
          <w:szCs w:val="22"/>
          <w:lang w:eastAsia="sk-SK"/>
        </w:rPr>
        <w:t>z demolácií.</w:t>
      </w:r>
      <w:r>
        <w:rPr>
          <w:rFonts w:asciiTheme="minorHAnsi" w:eastAsia="TimesNewRomanPSMT" w:hAnsiTheme="minorHAnsi" w:cstheme="minorHAnsi"/>
          <w:sz w:val="22"/>
          <w:szCs w:val="22"/>
          <w:lang w:eastAsia="sk-SK"/>
        </w:rPr>
        <w:t xml:space="preserve"> Počas prevádzky daného objektu odpady nebudú vznikať.</w:t>
      </w:r>
    </w:p>
    <w:p w14:paraId="62FFFD1C" w14:textId="77777777" w:rsidR="005D277D" w:rsidRPr="00E42363" w:rsidRDefault="005D277D" w:rsidP="005D277D">
      <w:pPr>
        <w:autoSpaceDE w:val="0"/>
        <w:autoSpaceDN w:val="0"/>
        <w:adjustRightInd w:val="0"/>
        <w:jc w:val="both"/>
        <w:rPr>
          <w:rFonts w:asciiTheme="minorHAnsi" w:eastAsia="TimesNewRomanPSMT" w:hAnsiTheme="minorHAnsi" w:cstheme="minorHAnsi"/>
          <w:sz w:val="22"/>
          <w:szCs w:val="22"/>
          <w:lang w:eastAsia="sk-SK"/>
        </w:rPr>
      </w:pPr>
      <w:r w:rsidRPr="00E42363">
        <w:rPr>
          <w:rFonts w:asciiTheme="minorHAnsi" w:eastAsia="TimesNewRomanPSMT" w:hAnsiTheme="minorHAnsi" w:cstheme="minorHAnsi"/>
          <w:sz w:val="22"/>
          <w:szCs w:val="22"/>
          <w:lang w:eastAsia="sk-SK"/>
        </w:rPr>
        <w:t>Podľa vyhlášky MŽP SR č. 365/2015 Z.z., ktorou sa ustanovuje Katalóg odpadov je predpoklad</w:t>
      </w:r>
    </w:p>
    <w:p w14:paraId="119E0AE5" w14:textId="77777777" w:rsidR="005D277D" w:rsidRDefault="005D277D" w:rsidP="005D277D">
      <w:pPr>
        <w:pStyle w:val="Hlavika"/>
        <w:jc w:val="both"/>
        <w:rPr>
          <w:rFonts w:asciiTheme="minorHAnsi" w:eastAsia="TimesNewRomanPSMT" w:hAnsiTheme="minorHAnsi" w:cstheme="minorHAnsi"/>
          <w:sz w:val="22"/>
          <w:szCs w:val="22"/>
          <w:lang w:eastAsia="sk-SK"/>
        </w:rPr>
      </w:pPr>
      <w:r w:rsidRPr="00E42363">
        <w:rPr>
          <w:rFonts w:asciiTheme="minorHAnsi" w:eastAsia="TimesNewRomanPSMT" w:hAnsiTheme="minorHAnsi" w:cstheme="minorHAnsi"/>
          <w:sz w:val="22"/>
          <w:szCs w:val="22"/>
          <w:lang w:eastAsia="sk-SK"/>
        </w:rPr>
        <w:t>vzniku nasledujúcich druhov odpadov uvedených v</w:t>
      </w:r>
      <w:r>
        <w:rPr>
          <w:rFonts w:asciiTheme="minorHAnsi" w:eastAsia="TimesNewRomanPSMT" w:hAnsiTheme="minorHAnsi" w:cstheme="minorHAnsi"/>
          <w:sz w:val="22"/>
          <w:szCs w:val="22"/>
          <w:lang w:eastAsia="sk-SK"/>
        </w:rPr>
        <w:t xml:space="preserve"> nasledujúcej</w:t>
      </w:r>
      <w:r w:rsidRPr="00E42363">
        <w:rPr>
          <w:rFonts w:asciiTheme="minorHAnsi" w:eastAsia="TimesNewRomanPSMT" w:hAnsiTheme="minorHAnsi" w:cstheme="minorHAnsi"/>
          <w:sz w:val="22"/>
          <w:szCs w:val="22"/>
          <w:lang w:eastAsia="sk-SK"/>
        </w:rPr>
        <w:t xml:space="preserve"> tabuľke</w:t>
      </w:r>
      <w:r>
        <w:rPr>
          <w:rFonts w:asciiTheme="minorHAnsi" w:eastAsia="TimesNewRomanPSMT" w:hAnsiTheme="minorHAnsi" w:cstheme="minorHAnsi"/>
          <w:sz w:val="22"/>
          <w:szCs w:val="22"/>
          <w:lang w:eastAsia="sk-SK"/>
        </w:rPr>
        <w:t>:</w:t>
      </w:r>
    </w:p>
    <w:p w14:paraId="77149FFF" w14:textId="77777777" w:rsidR="005D277D" w:rsidRDefault="005D277D" w:rsidP="005D277D">
      <w:pPr>
        <w:pStyle w:val="Hlavika"/>
        <w:jc w:val="both"/>
      </w:pPr>
    </w:p>
    <w:tbl>
      <w:tblPr>
        <w:tblW w:w="8930" w:type="dxa"/>
        <w:tblInd w:w="172" w:type="dxa"/>
        <w:tblLayout w:type="fixed"/>
        <w:tblCellMar>
          <w:left w:w="30" w:type="dxa"/>
          <w:right w:w="30" w:type="dxa"/>
        </w:tblCellMar>
        <w:tblLook w:val="04A0" w:firstRow="1" w:lastRow="0" w:firstColumn="1" w:lastColumn="0" w:noHBand="0" w:noVBand="1"/>
      </w:tblPr>
      <w:tblGrid>
        <w:gridCol w:w="1276"/>
        <w:gridCol w:w="4393"/>
        <w:gridCol w:w="1135"/>
        <w:gridCol w:w="992"/>
        <w:gridCol w:w="1134"/>
      </w:tblGrid>
      <w:tr w:rsidR="00CC1B05" w14:paraId="36EAD464" w14:textId="77777777" w:rsidTr="00CC1B05">
        <w:trPr>
          <w:trHeight w:val="499"/>
        </w:trPr>
        <w:tc>
          <w:tcPr>
            <w:tcW w:w="1276" w:type="dxa"/>
            <w:tcBorders>
              <w:top w:val="single" w:sz="6" w:space="0" w:color="auto"/>
              <w:left w:val="single" w:sz="6" w:space="0" w:color="auto"/>
              <w:bottom w:val="single" w:sz="6" w:space="0" w:color="auto"/>
              <w:right w:val="single" w:sz="6" w:space="0" w:color="auto"/>
            </w:tcBorders>
            <w:hideMark/>
          </w:tcPr>
          <w:p w14:paraId="6D4AEB4D" w14:textId="77777777" w:rsidR="00CC1B05" w:rsidRPr="00107471" w:rsidRDefault="00CC1B05" w:rsidP="00CC1B05">
            <w:pPr>
              <w:jc w:val="center"/>
              <w:rPr>
                <w:rFonts w:asciiTheme="minorHAnsi" w:hAnsiTheme="minorHAnsi"/>
                <w:b/>
                <w:bCs/>
                <w:color w:val="000000"/>
                <w:sz w:val="22"/>
                <w:szCs w:val="22"/>
              </w:rPr>
            </w:pPr>
            <w:r w:rsidRPr="00107471">
              <w:rPr>
                <w:rFonts w:asciiTheme="minorHAnsi" w:hAnsiTheme="minorHAnsi"/>
                <w:b/>
                <w:bCs/>
                <w:color w:val="000000"/>
                <w:sz w:val="22"/>
                <w:szCs w:val="22"/>
              </w:rPr>
              <w:t>Katalógové</w:t>
            </w:r>
          </w:p>
          <w:p w14:paraId="6E31D7F0" w14:textId="77777777" w:rsidR="00CC1B05" w:rsidRPr="00107471" w:rsidRDefault="00CC1B05" w:rsidP="00CC1B05">
            <w:pPr>
              <w:overflowPunct w:val="0"/>
              <w:autoSpaceDE w:val="0"/>
              <w:autoSpaceDN w:val="0"/>
              <w:adjustRightInd w:val="0"/>
              <w:jc w:val="center"/>
              <w:rPr>
                <w:rFonts w:asciiTheme="minorHAnsi" w:hAnsiTheme="minorHAnsi"/>
                <w:b/>
                <w:bCs/>
                <w:color w:val="000000"/>
                <w:sz w:val="22"/>
                <w:szCs w:val="22"/>
              </w:rPr>
            </w:pPr>
            <w:r w:rsidRPr="00107471">
              <w:rPr>
                <w:rFonts w:asciiTheme="minorHAnsi" w:hAnsiTheme="minorHAnsi"/>
                <w:b/>
                <w:bCs/>
                <w:color w:val="000000"/>
                <w:sz w:val="22"/>
                <w:szCs w:val="22"/>
              </w:rPr>
              <w:t>číslo</w:t>
            </w:r>
          </w:p>
        </w:tc>
        <w:tc>
          <w:tcPr>
            <w:tcW w:w="4393" w:type="dxa"/>
            <w:tcBorders>
              <w:top w:val="single" w:sz="6" w:space="0" w:color="auto"/>
              <w:left w:val="single" w:sz="6" w:space="0" w:color="auto"/>
              <w:bottom w:val="single" w:sz="6" w:space="0" w:color="auto"/>
              <w:right w:val="single" w:sz="6" w:space="0" w:color="auto"/>
            </w:tcBorders>
            <w:hideMark/>
          </w:tcPr>
          <w:p w14:paraId="093612D8" w14:textId="77777777" w:rsidR="00CC1B05" w:rsidRPr="00107471" w:rsidRDefault="00CC1B05" w:rsidP="00CC1B05">
            <w:pPr>
              <w:overflowPunct w:val="0"/>
              <w:autoSpaceDE w:val="0"/>
              <w:autoSpaceDN w:val="0"/>
              <w:adjustRightInd w:val="0"/>
              <w:jc w:val="center"/>
              <w:rPr>
                <w:rFonts w:asciiTheme="minorHAnsi" w:hAnsiTheme="minorHAnsi"/>
                <w:b/>
                <w:bCs/>
                <w:color w:val="000000"/>
                <w:sz w:val="22"/>
                <w:szCs w:val="22"/>
              </w:rPr>
            </w:pPr>
            <w:r w:rsidRPr="00107471">
              <w:rPr>
                <w:rFonts w:asciiTheme="minorHAnsi" w:hAnsiTheme="minorHAnsi"/>
                <w:b/>
                <w:bCs/>
                <w:color w:val="000000"/>
                <w:sz w:val="22"/>
                <w:szCs w:val="22"/>
              </w:rPr>
              <w:t>Názov druhu odpadu</w:t>
            </w:r>
          </w:p>
        </w:tc>
        <w:tc>
          <w:tcPr>
            <w:tcW w:w="1135" w:type="dxa"/>
            <w:tcBorders>
              <w:top w:val="single" w:sz="6" w:space="0" w:color="auto"/>
              <w:left w:val="single" w:sz="6" w:space="0" w:color="auto"/>
              <w:bottom w:val="single" w:sz="6" w:space="0" w:color="auto"/>
              <w:right w:val="single" w:sz="6" w:space="0" w:color="auto"/>
            </w:tcBorders>
            <w:hideMark/>
          </w:tcPr>
          <w:p w14:paraId="7A7D974C" w14:textId="77777777" w:rsidR="00CC1B05" w:rsidRPr="00107471" w:rsidRDefault="00CC1B05" w:rsidP="00CC1B05">
            <w:pPr>
              <w:overflowPunct w:val="0"/>
              <w:autoSpaceDE w:val="0"/>
              <w:autoSpaceDN w:val="0"/>
              <w:adjustRightInd w:val="0"/>
              <w:jc w:val="center"/>
              <w:rPr>
                <w:rFonts w:asciiTheme="minorHAnsi" w:hAnsiTheme="minorHAnsi"/>
                <w:b/>
                <w:bCs/>
                <w:color w:val="000000"/>
                <w:sz w:val="22"/>
                <w:szCs w:val="22"/>
              </w:rPr>
            </w:pPr>
            <w:r w:rsidRPr="00107471">
              <w:rPr>
                <w:rFonts w:asciiTheme="minorHAnsi" w:hAnsiTheme="minorHAnsi"/>
                <w:b/>
                <w:bCs/>
                <w:color w:val="000000"/>
                <w:sz w:val="22"/>
                <w:szCs w:val="22"/>
              </w:rPr>
              <w:t>Kategória</w:t>
            </w:r>
          </w:p>
        </w:tc>
        <w:tc>
          <w:tcPr>
            <w:tcW w:w="992" w:type="dxa"/>
            <w:tcBorders>
              <w:top w:val="single" w:sz="6" w:space="0" w:color="auto"/>
              <w:left w:val="single" w:sz="6" w:space="0" w:color="auto"/>
              <w:bottom w:val="single" w:sz="6" w:space="0" w:color="auto"/>
              <w:right w:val="single" w:sz="6" w:space="0" w:color="auto"/>
            </w:tcBorders>
            <w:hideMark/>
          </w:tcPr>
          <w:p w14:paraId="3F222C9B" w14:textId="77777777" w:rsidR="00CC1B05" w:rsidRPr="00107471" w:rsidRDefault="00CC1B05" w:rsidP="00CC1B05">
            <w:pPr>
              <w:jc w:val="center"/>
              <w:rPr>
                <w:rFonts w:asciiTheme="minorHAnsi" w:hAnsiTheme="minorHAnsi"/>
                <w:b/>
                <w:bCs/>
                <w:color w:val="000000"/>
                <w:sz w:val="22"/>
                <w:szCs w:val="22"/>
              </w:rPr>
            </w:pPr>
            <w:r w:rsidRPr="00107471">
              <w:rPr>
                <w:rFonts w:asciiTheme="minorHAnsi" w:hAnsiTheme="minorHAnsi"/>
                <w:b/>
                <w:bCs/>
                <w:color w:val="000000"/>
                <w:sz w:val="22"/>
                <w:szCs w:val="22"/>
              </w:rPr>
              <w:t>Merná</w:t>
            </w:r>
          </w:p>
          <w:p w14:paraId="1D1602AA" w14:textId="77777777" w:rsidR="00CC1B05" w:rsidRPr="00107471" w:rsidRDefault="00CC1B05" w:rsidP="00CC1B05">
            <w:pPr>
              <w:overflowPunct w:val="0"/>
              <w:autoSpaceDE w:val="0"/>
              <w:autoSpaceDN w:val="0"/>
              <w:adjustRightInd w:val="0"/>
              <w:jc w:val="center"/>
              <w:rPr>
                <w:rFonts w:asciiTheme="minorHAnsi" w:hAnsiTheme="minorHAnsi"/>
                <w:b/>
                <w:bCs/>
                <w:color w:val="000000"/>
                <w:sz w:val="22"/>
                <w:szCs w:val="22"/>
              </w:rPr>
            </w:pPr>
            <w:r w:rsidRPr="00107471">
              <w:rPr>
                <w:rFonts w:asciiTheme="minorHAnsi" w:hAnsiTheme="minorHAnsi"/>
                <w:b/>
                <w:bCs/>
                <w:color w:val="000000"/>
                <w:sz w:val="22"/>
                <w:szCs w:val="22"/>
              </w:rPr>
              <w:t>jednotka</w:t>
            </w:r>
          </w:p>
        </w:tc>
        <w:tc>
          <w:tcPr>
            <w:tcW w:w="1134" w:type="dxa"/>
            <w:tcBorders>
              <w:top w:val="single" w:sz="6" w:space="0" w:color="auto"/>
              <w:left w:val="single" w:sz="6" w:space="0" w:color="auto"/>
              <w:bottom w:val="single" w:sz="6" w:space="0" w:color="auto"/>
              <w:right w:val="single" w:sz="6" w:space="0" w:color="auto"/>
            </w:tcBorders>
            <w:hideMark/>
          </w:tcPr>
          <w:p w14:paraId="7070EAC1" w14:textId="77777777" w:rsidR="00CC1B05" w:rsidRPr="00107471" w:rsidRDefault="00CC1B05" w:rsidP="00CC1B05">
            <w:pPr>
              <w:overflowPunct w:val="0"/>
              <w:autoSpaceDE w:val="0"/>
              <w:autoSpaceDN w:val="0"/>
              <w:adjustRightInd w:val="0"/>
              <w:jc w:val="center"/>
              <w:rPr>
                <w:rFonts w:asciiTheme="minorHAnsi" w:hAnsiTheme="minorHAnsi"/>
                <w:b/>
                <w:bCs/>
                <w:color w:val="000000"/>
                <w:sz w:val="22"/>
                <w:szCs w:val="22"/>
              </w:rPr>
            </w:pPr>
            <w:r w:rsidRPr="00107471">
              <w:rPr>
                <w:rFonts w:asciiTheme="minorHAnsi" w:hAnsiTheme="minorHAnsi"/>
                <w:b/>
                <w:bCs/>
                <w:color w:val="000000"/>
                <w:sz w:val="22"/>
                <w:szCs w:val="22"/>
              </w:rPr>
              <w:t>Množstvo</w:t>
            </w:r>
          </w:p>
        </w:tc>
      </w:tr>
      <w:tr w:rsidR="00CC1B05" w14:paraId="34D5AB9F" w14:textId="77777777" w:rsidTr="00CC1B05">
        <w:trPr>
          <w:trHeight w:val="214"/>
        </w:trPr>
        <w:tc>
          <w:tcPr>
            <w:tcW w:w="1276" w:type="dxa"/>
            <w:tcBorders>
              <w:top w:val="single" w:sz="6" w:space="0" w:color="auto"/>
              <w:left w:val="single" w:sz="6" w:space="0" w:color="auto"/>
              <w:bottom w:val="single" w:sz="6" w:space="0" w:color="auto"/>
              <w:right w:val="single" w:sz="6" w:space="0" w:color="auto"/>
            </w:tcBorders>
            <w:hideMark/>
          </w:tcPr>
          <w:p w14:paraId="69E2D7EB" w14:textId="77777777" w:rsidR="00CC1B05" w:rsidRPr="00107471" w:rsidRDefault="00CC1B05" w:rsidP="00CC1B05">
            <w:pPr>
              <w:overflowPunct w:val="0"/>
              <w:autoSpaceDE w:val="0"/>
              <w:autoSpaceDN w:val="0"/>
              <w:adjustRightInd w:val="0"/>
              <w:rPr>
                <w:rFonts w:asciiTheme="minorHAnsi" w:hAnsiTheme="minorHAnsi"/>
                <w:color w:val="000000"/>
                <w:sz w:val="22"/>
                <w:szCs w:val="22"/>
              </w:rPr>
            </w:pPr>
            <w:r w:rsidRPr="00107471">
              <w:rPr>
                <w:rFonts w:asciiTheme="minorHAnsi" w:hAnsiTheme="minorHAnsi"/>
                <w:color w:val="000000"/>
                <w:sz w:val="22"/>
                <w:szCs w:val="22"/>
              </w:rPr>
              <w:t>17 06 04</w:t>
            </w:r>
          </w:p>
        </w:tc>
        <w:tc>
          <w:tcPr>
            <w:tcW w:w="4393" w:type="dxa"/>
            <w:tcBorders>
              <w:top w:val="single" w:sz="6" w:space="0" w:color="auto"/>
              <w:left w:val="single" w:sz="6" w:space="0" w:color="auto"/>
              <w:bottom w:val="single" w:sz="6" w:space="0" w:color="auto"/>
              <w:right w:val="single" w:sz="6" w:space="0" w:color="auto"/>
            </w:tcBorders>
            <w:hideMark/>
          </w:tcPr>
          <w:p w14:paraId="3E82392C" w14:textId="77777777" w:rsidR="00CC1B05" w:rsidRPr="00107471" w:rsidRDefault="00CC1B05" w:rsidP="00CC1B05">
            <w:pPr>
              <w:overflowPunct w:val="0"/>
              <w:autoSpaceDE w:val="0"/>
              <w:autoSpaceDN w:val="0"/>
              <w:adjustRightInd w:val="0"/>
              <w:rPr>
                <w:rFonts w:asciiTheme="minorHAnsi" w:hAnsiTheme="minorHAnsi"/>
                <w:color w:val="000000"/>
                <w:sz w:val="22"/>
                <w:szCs w:val="22"/>
              </w:rPr>
            </w:pPr>
            <w:r w:rsidRPr="00107471">
              <w:rPr>
                <w:rFonts w:asciiTheme="minorHAnsi" w:hAnsiTheme="minorHAnsi"/>
                <w:color w:val="000000"/>
                <w:sz w:val="22"/>
                <w:szCs w:val="22"/>
              </w:rPr>
              <w:t>Izolačné materiály iné ako uvedené v 17 06 01 a 17 06 03</w:t>
            </w:r>
          </w:p>
        </w:tc>
        <w:tc>
          <w:tcPr>
            <w:tcW w:w="1135" w:type="dxa"/>
            <w:tcBorders>
              <w:top w:val="single" w:sz="6" w:space="0" w:color="auto"/>
              <w:left w:val="single" w:sz="6" w:space="0" w:color="auto"/>
              <w:bottom w:val="single" w:sz="6" w:space="0" w:color="auto"/>
              <w:right w:val="single" w:sz="6" w:space="0" w:color="auto"/>
            </w:tcBorders>
            <w:hideMark/>
          </w:tcPr>
          <w:p w14:paraId="24D82EEB" w14:textId="77777777" w:rsidR="00CC1B05" w:rsidRPr="00107471" w:rsidRDefault="00CC1B05" w:rsidP="00CC1B05">
            <w:pPr>
              <w:overflowPunct w:val="0"/>
              <w:autoSpaceDE w:val="0"/>
              <w:autoSpaceDN w:val="0"/>
              <w:adjustRightInd w:val="0"/>
              <w:jc w:val="center"/>
              <w:rPr>
                <w:rFonts w:asciiTheme="minorHAnsi" w:hAnsiTheme="minorHAnsi"/>
                <w:color w:val="000000"/>
                <w:sz w:val="22"/>
                <w:szCs w:val="22"/>
              </w:rPr>
            </w:pPr>
            <w:r w:rsidRPr="00107471">
              <w:rPr>
                <w:rFonts w:asciiTheme="minorHAnsi" w:hAnsiTheme="minorHAnsi"/>
                <w:color w:val="000000"/>
                <w:sz w:val="22"/>
                <w:szCs w:val="22"/>
              </w:rPr>
              <w:t>O</w:t>
            </w:r>
          </w:p>
        </w:tc>
        <w:tc>
          <w:tcPr>
            <w:tcW w:w="992" w:type="dxa"/>
            <w:tcBorders>
              <w:top w:val="single" w:sz="6" w:space="0" w:color="auto"/>
              <w:left w:val="single" w:sz="6" w:space="0" w:color="auto"/>
              <w:bottom w:val="single" w:sz="6" w:space="0" w:color="auto"/>
              <w:right w:val="single" w:sz="6" w:space="0" w:color="auto"/>
            </w:tcBorders>
            <w:hideMark/>
          </w:tcPr>
          <w:p w14:paraId="148CB05C" w14:textId="77777777" w:rsidR="00CC1B05" w:rsidRPr="00107471" w:rsidRDefault="00CC1B05" w:rsidP="00CC1B05">
            <w:pPr>
              <w:overflowPunct w:val="0"/>
              <w:autoSpaceDE w:val="0"/>
              <w:autoSpaceDN w:val="0"/>
              <w:adjustRightInd w:val="0"/>
              <w:jc w:val="center"/>
              <w:rPr>
                <w:rFonts w:asciiTheme="minorHAnsi" w:hAnsiTheme="minorHAnsi"/>
                <w:color w:val="000000"/>
                <w:sz w:val="22"/>
                <w:szCs w:val="22"/>
              </w:rPr>
            </w:pPr>
            <w:r w:rsidRPr="00107471">
              <w:rPr>
                <w:rFonts w:asciiTheme="minorHAnsi" w:hAnsiTheme="minorHAnsi"/>
                <w:color w:val="000000"/>
                <w:sz w:val="22"/>
                <w:szCs w:val="22"/>
              </w:rPr>
              <w:t>t</w:t>
            </w:r>
          </w:p>
        </w:tc>
        <w:tc>
          <w:tcPr>
            <w:tcW w:w="1134" w:type="dxa"/>
            <w:tcBorders>
              <w:top w:val="single" w:sz="6" w:space="0" w:color="auto"/>
              <w:left w:val="single" w:sz="6" w:space="0" w:color="auto"/>
              <w:bottom w:val="single" w:sz="6" w:space="0" w:color="auto"/>
              <w:right w:val="single" w:sz="6" w:space="0" w:color="auto"/>
            </w:tcBorders>
            <w:hideMark/>
          </w:tcPr>
          <w:p w14:paraId="74567BBB" w14:textId="1AD092E3" w:rsidR="00CC1B05" w:rsidRPr="00107471" w:rsidRDefault="00CC1B05" w:rsidP="006F3885">
            <w:pPr>
              <w:overflowPunct w:val="0"/>
              <w:autoSpaceDE w:val="0"/>
              <w:autoSpaceDN w:val="0"/>
              <w:adjustRightInd w:val="0"/>
              <w:jc w:val="center"/>
              <w:rPr>
                <w:rFonts w:asciiTheme="minorHAnsi" w:hAnsiTheme="minorHAnsi"/>
                <w:color w:val="000000"/>
                <w:sz w:val="22"/>
                <w:szCs w:val="22"/>
              </w:rPr>
            </w:pPr>
            <w:r>
              <w:rPr>
                <w:rFonts w:asciiTheme="minorHAnsi" w:hAnsiTheme="minorHAnsi"/>
                <w:color w:val="000000"/>
                <w:sz w:val="22"/>
                <w:szCs w:val="22"/>
              </w:rPr>
              <w:t>0,</w:t>
            </w:r>
            <w:r w:rsidR="00B518CD">
              <w:rPr>
                <w:rFonts w:asciiTheme="minorHAnsi" w:hAnsiTheme="minorHAnsi"/>
                <w:color w:val="000000"/>
                <w:sz w:val="22"/>
                <w:szCs w:val="22"/>
              </w:rPr>
              <w:t>010</w:t>
            </w:r>
          </w:p>
        </w:tc>
      </w:tr>
      <w:tr w:rsidR="00CC1B05" w14:paraId="67C1D51F" w14:textId="77777777" w:rsidTr="00CC1B05">
        <w:trPr>
          <w:trHeight w:val="214"/>
        </w:trPr>
        <w:tc>
          <w:tcPr>
            <w:tcW w:w="1276" w:type="dxa"/>
            <w:tcBorders>
              <w:top w:val="single" w:sz="6" w:space="0" w:color="auto"/>
              <w:left w:val="single" w:sz="6" w:space="0" w:color="auto"/>
              <w:bottom w:val="single" w:sz="6" w:space="0" w:color="auto"/>
              <w:right w:val="single" w:sz="6" w:space="0" w:color="auto"/>
            </w:tcBorders>
          </w:tcPr>
          <w:p w14:paraId="0425C1D1" w14:textId="77777777" w:rsidR="00CC1B05" w:rsidRPr="00107471" w:rsidRDefault="00CC1B05" w:rsidP="00CC1B05">
            <w:pPr>
              <w:overflowPunct w:val="0"/>
              <w:autoSpaceDE w:val="0"/>
              <w:autoSpaceDN w:val="0"/>
              <w:adjustRightInd w:val="0"/>
              <w:rPr>
                <w:rFonts w:asciiTheme="minorHAnsi" w:hAnsiTheme="minorHAnsi"/>
                <w:color w:val="000000"/>
                <w:sz w:val="22"/>
                <w:szCs w:val="22"/>
              </w:rPr>
            </w:pPr>
            <w:r>
              <w:rPr>
                <w:rFonts w:asciiTheme="minorHAnsi" w:hAnsiTheme="minorHAnsi"/>
                <w:color w:val="000000"/>
                <w:sz w:val="22"/>
                <w:szCs w:val="22"/>
              </w:rPr>
              <w:t>17 04 11</w:t>
            </w:r>
          </w:p>
        </w:tc>
        <w:tc>
          <w:tcPr>
            <w:tcW w:w="4393" w:type="dxa"/>
            <w:tcBorders>
              <w:top w:val="single" w:sz="6" w:space="0" w:color="auto"/>
              <w:left w:val="single" w:sz="6" w:space="0" w:color="auto"/>
              <w:bottom w:val="single" w:sz="6" w:space="0" w:color="auto"/>
              <w:right w:val="single" w:sz="6" w:space="0" w:color="auto"/>
            </w:tcBorders>
          </w:tcPr>
          <w:p w14:paraId="3789143E" w14:textId="77777777" w:rsidR="00CC1B05" w:rsidRPr="00107471" w:rsidRDefault="00CC1B05" w:rsidP="00CC1B05">
            <w:pPr>
              <w:overflowPunct w:val="0"/>
              <w:autoSpaceDE w:val="0"/>
              <w:autoSpaceDN w:val="0"/>
              <w:adjustRightInd w:val="0"/>
              <w:rPr>
                <w:rFonts w:asciiTheme="minorHAnsi" w:hAnsiTheme="minorHAnsi"/>
                <w:color w:val="000000"/>
                <w:sz w:val="22"/>
                <w:szCs w:val="22"/>
              </w:rPr>
            </w:pPr>
            <w:r>
              <w:rPr>
                <w:rFonts w:asciiTheme="minorHAnsi" w:hAnsiTheme="minorHAnsi"/>
                <w:color w:val="000000"/>
                <w:sz w:val="22"/>
                <w:szCs w:val="22"/>
              </w:rPr>
              <w:t>Káble iné ako uvedené v 17 04 10</w:t>
            </w:r>
          </w:p>
        </w:tc>
        <w:tc>
          <w:tcPr>
            <w:tcW w:w="1135" w:type="dxa"/>
            <w:tcBorders>
              <w:top w:val="single" w:sz="6" w:space="0" w:color="auto"/>
              <w:left w:val="single" w:sz="6" w:space="0" w:color="auto"/>
              <w:bottom w:val="single" w:sz="6" w:space="0" w:color="auto"/>
              <w:right w:val="single" w:sz="6" w:space="0" w:color="auto"/>
            </w:tcBorders>
          </w:tcPr>
          <w:p w14:paraId="20DA5389" w14:textId="77777777" w:rsidR="00CC1B05" w:rsidRPr="00107471" w:rsidRDefault="00CC1B05" w:rsidP="00CC1B05">
            <w:pPr>
              <w:overflowPunct w:val="0"/>
              <w:autoSpaceDE w:val="0"/>
              <w:autoSpaceDN w:val="0"/>
              <w:adjustRightInd w:val="0"/>
              <w:jc w:val="center"/>
              <w:rPr>
                <w:rFonts w:asciiTheme="minorHAnsi" w:hAnsiTheme="minorHAnsi"/>
                <w:color w:val="000000"/>
                <w:sz w:val="22"/>
                <w:szCs w:val="22"/>
              </w:rPr>
            </w:pPr>
            <w:r>
              <w:rPr>
                <w:rFonts w:asciiTheme="minorHAnsi" w:hAnsiTheme="minorHAnsi"/>
                <w:color w:val="000000"/>
                <w:sz w:val="22"/>
                <w:szCs w:val="22"/>
              </w:rPr>
              <w:t>O</w:t>
            </w:r>
          </w:p>
        </w:tc>
        <w:tc>
          <w:tcPr>
            <w:tcW w:w="992" w:type="dxa"/>
            <w:tcBorders>
              <w:top w:val="single" w:sz="6" w:space="0" w:color="auto"/>
              <w:left w:val="single" w:sz="6" w:space="0" w:color="auto"/>
              <w:bottom w:val="single" w:sz="6" w:space="0" w:color="auto"/>
              <w:right w:val="single" w:sz="6" w:space="0" w:color="auto"/>
            </w:tcBorders>
          </w:tcPr>
          <w:p w14:paraId="72C36D68" w14:textId="77777777" w:rsidR="00CC1B05" w:rsidRPr="00107471" w:rsidRDefault="00CC1B05" w:rsidP="00CC1B05">
            <w:pPr>
              <w:overflowPunct w:val="0"/>
              <w:autoSpaceDE w:val="0"/>
              <w:autoSpaceDN w:val="0"/>
              <w:adjustRightInd w:val="0"/>
              <w:jc w:val="center"/>
              <w:rPr>
                <w:rFonts w:asciiTheme="minorHAnsi" w:hAnsiTheme="minorHAnsi"/>
                <w:color w:val="000000"/>
                <w:sz w:val="22"/>
                <w:szCs w:val="22"/>
              </w:rPr>
            </w:pPr>
            <w:r>
              <w:rPr>
                <w:rFonts w:asciiTheme="minorHAnsi" w:hAnsiTheme="minorHAnsi"/>
                <w:color w:val="000000"/>
                <w:sz w:val="22"/>
                <w:szCs w:val="22"/>
              </w:rPr>
              <w:t>t</w:t>
            </w:r>
          </w:p>
        </w:tc>
        <w:tc>
          <w:tcPr>
            <w:tcW w:w="1134" w:type="dxa"/>
            <w:tcBorders>
              <w:top w:val="single" w:sz="6" w:space="0" w:color="auto"/>
              <w:left w:val="single" w:sz="6" w:space="0" w:color="auto"/>
              <w:bottom w:val="single" w:sz="6" w:space="0" w:color="auto"/>
              <w:right w:val="single" w:sz="6" w:space="0" w:color="auto"/>
            </w:tcBorders>
          </w:tcPr>
          <w:p w14:paraId="4E49294A" w14:textId="62FA4801" w:rsidR="00CC1B05" w:rsidRDefault="00CC1B05" w:rsidP="006F3885">
            <w:pPr>
              <w:overflowPunct w:val="0"/>
              <w:autoSpaceDE w:val="0"/>
              <w:autoSpaceDN w:val="0"/>
              <w:adjustRightInd w:val="0"/>
              <w:jc w:val="center"/>
              <w:rPr>
                <w:rFonts w:asciiTheme="minorHAnsi" w:hAnsiTheme="minorHAnsi"/>
                <w:color w:val="000000"/>
                <w:sz w:val="22"/>
                <w:szCs w:val="22"/>
              </w:rPr>
            </w:pPr>
            <w:r>
              <w:rPr>
                <w:rFonts w:asciiTheme="minorHAnsi" w:hAnsiTheme="minorHAnsi"/>
                <w:color w:val="000000"/>
                <w:sz w:val="22"/>
                <w:szCs w:val="22"/>
              </w:rPr>
              <w:t>0,</w:t>
            </w:r>
            <w:r w:rsidR="00B518CD">
              <w:rPr>
                <w:rFonts w:asciiTheme="minorHAnsi" w:hAnsiTheme="minorHAnsi"/>
                <w:color w:val="000000"/>
                <w:sz w:val="22"/>
                <w:szCs w:val="22"/>
              </w:rPr>
              <w:t>005</w:t>
            </w:r>
          </w:p>
        </w:tc>
      </w:tr>
    </w:tbl>
    <w:p w14:paraId="796ED41E" w14:textId="1FE97444" w:rsidR="007B451A" w:rsidRPr="00395A04" w:rsidRDefault="007B451A" w:rsidP="007B451A">
      <w:pPr>
        <w:autoSpaceDE w:val="0"/>
        <w:autoSpaceDN w:val="0"/>
        <w:adjustRightInd w:val="0"/>
        <w:rPr>
          <w:rFonts w:ascii="Calibri" w:hAnsi="Calibri" w:cs="Arial"/>
          <w:sz w:val="22"/>
          <w:szCs w:val="22"/>
        </w:rPr>
      </w:pPr>
      <w:r w:rsidRPr="00E42363">
        <w:rPr>
          <w:rFonts w:asciiTheme="minorHAnsi" w:eastAsia="TimesNewRomanPSMT" w:hAnsiTheme="minorHAnsi" w:cstheme="minorHAnsi"/>
          <w:sz w:val="22"/>
          <w:szCs w:val="22"/>
          <w:lang w:eastAsia="sk-SK"/>
        </w:rPr>
        <w:t xml:space="preserve">Nazhromaždené odpady sa odvezú na </w:t>
      </w:r>
      <w:r>
        <w:rPr>
          <w:rFonts w:asciiTheme="minorHAnsi" w:eastAsia="TimesNewRomanPSMT" w:hAnsiTheme="minorHAnsi" w:cstheme="minorHAnsi"/>
          <w:sz w:val="22"/>
          <w:szCs w:val="22"/>
          <w:lang w:eastAsia="sk-SK"/>
        </w:rPr>
        <w:t xml:space="preserve">riadenú </w:t>
      </w:r>
      <w:r w:rsidRPr="00E42363">
        <w:rPr>
          <w:rFonts w:asciiTheme="minorHAnsi" w:eastAsia="TimesNewRomanPSMT" w:hAnsiTheme="minorHAnsi" w:cstheme="minorHAnsi"/>
          <w:sz w:val="22"/>
          <w:szCs w:val="22"/>
          <w:lang w:eastAsia="sk-SK"/>
        </w:rPr>
        <w:t>skládku  za účelom zhodnotenia resp. zneškodnenia do zariadenia nato určenom.</w:t>
      </w:r>
      <w:r>
        <w:rPr>
          <w:rFonts w:asciiTheme="minorHAnsi" w:eastAsia="TimesNewRomanPSMT" w:hAnsiTheme="minorHAnsi" w:cstheme="minorHAnsi"/>
          <w:sz w:val="22"/>
          <w:szCs w:val="22"/>
          <w:lang w:eastAsia="sk-SK"/>
        </w:rPr>
        <w:t xml:space="preserve">  </w:t>
      </w:r>
      <w:r w:rsidRPr="00E42363">
        <w:rPr>
          <w:rFonts w:asciiTheme="minorHAnsi" w:eastAsia="TimesNewRomanPSMT" w:hAnsiTheme="minorHAnsi" w:cstheme="minorHAnsi"/>
          <w:sz w:val="22"/>
          <w:szCs w:val="22"/>
          <w:lang w:eastAsia="sk-SK"/>
        </w:rPr>
        <w:t>Konkrétny spôsob nakladania a množstvá produkovaných odpadov počas výstavby budú</w:t>
      </w:r>
      <w:r>
        <w:rPr>
          <w:rFonts w:asciiTheme="minorHAnsi" w:eastAsia="TimesNewRomanPSMT" w:hAnsiTheme="minorHAnsi" w:cstheme="minorHAnsi"/>
          <w:sz w:val="22"/>
          <w:szCs w:val="22"/>
          <w:lang w:eastAsia="sk-SK"/>
        </w:rPr>
        <w:t xml:space="preserve"> zd</w:t>
      </w:r>
      <w:r w:rsidRPr="00E42363">
        <w:rPr>
          <w:rFonts w:asciiTheme="minorHAnsi" w:eastAsia="TimesNewRomanPSMT" w:hAnsiTheme="minorHAnsi" w:cstheme="minorHAnsi"/>
          <w:sz w:val="22"/>
          <w:szCs w:val="22"/>
          <w:lang w:eastAsia="sk-SK"/>
        </w:rPr>
        <w:t>okumentované pri kolaudačnom konaní na základe vedenej evidencie pôvodcu</w:t>
      </w:r>
      <w:r>
        <w:rPr>
          <w:rFonts w:asciiTheme="minorHAnsi" w:eastAsia="TimesNewRomanPSMT" w:hAnsiTheme="minorHAnsi" w:cstheme="minorHAnsi"/>
          <w:sz w:val="22"/>
          <w:szCs w:val="22"/>
          <w:lang w:eastAsia="sk-SK"/>
        </w:rPr>
        <w:t>.</w:t>
      </w:r>
    </w:p>
    <w:p w14:paraId="543FC6AA" w14:textId="406E585C" w:rsidR="004A70BC" w:rsidRPr="00DA2047" w:rsidRDefault="00B453C0" w:rsidP="00DA2047">
      <w:pPr>
        <w:pStyle w:val="Pta"/>
        <w:tabs>
          <w:tab w:val="left" w:pos="708"/>
        </w:tabs>
        <w:contextualSpacing/>
        <w:rPr>
          <w:rFonts w:asciiTheme="minorHAnsi" w:hAnsiTheme="minorHAnsi" w:cs="Arial"/>
          <w:sz w:val="22"/>
          <w:szCs w:val="22"/>
        </w:rPr>
      </w:pPr>
      <w:r>
        <w:rPr>
          <w:rFonts w:asciiTheme="minorHAnsi" w:hAnsiTheme="minorHAnsi" w:cs="Arial"/>
          <w:sz w:val="22"/>
          <w:szCs w:val="22"/>
        </w:rPr>
        <w:t xml:space="preserve"> </w:t>
      </w:r>
      <w:r w:rsidR="003D3A96">
        <w:rPr>
          <w:rFonts w:asciiTheme="minorHAnsi" w:hAnsiTheme="minorHAnsi" w:cs="Arial"/>
          <w:sz w:val="22"/>
          <w:szCs w:val="22"/>
        </w:rPr>
        <w:t xml:space="preserve">       </w:t>
      </w:r>
      <w:r w:rsidR="00DF0E72">
        <w:rPr>
          <w:rFonts w:asciiTheme="minorHAnsi" w:hAnsiTheme="minorHAnsi" w:cs="Arial"/>
          <w:sz w:val="22"/>
          <w:szCs w:val="22"/>
        </w:rPr>
        <w:t xml:space="preserve">     </w:t>
      </w:r>
      <w:r w:rsidR="00C32116">
        <w:rPr>
          <w:rFonts w:asciiTheme="minorHAnsi" w:hAnsiTheme="minorHAnsi" w:cs="Arial"/>
          <w:sz w:val="22"/>
          <w:szCs w:val="22"/>
        </w:rPr>
        <w:t xml:space="preserve"> </w:t>
      </w:r>
    </w:p>
    <w:p w14:paraId="2DB557A1" w14:textId="77777777" w:rsidR="00DA2047" w:rsidRPr="00CD441D" w:rsidRDefault="005D277D" w:rsidP="005614F0">
      <w:pPr>
        <w:contextualSpacing/>
        <w:jc w:val="both"/>
        <w:rPr>
          <w:rFonts w:ascii="Calibri" w:hAnsi="Calibri" w:cs="Arial"/>
          <w:b/>
          <w:sz w:val="28"/>
          <w:szCs w:val="28"/>
          <w:u w:val="single"/>
        </w:rPr>
      </w:pPr>
      <w:r>
        <w:rPr>
          <w:rFonts w:ascii="Calibri" w:hAnsi="Calibri" w:cs="Arial"/>
          <w:b/>
          <w:sz w:val="28"/>
          <w:szCs w:val="28"/>
          <w:u w:val="single"/>
        </w:rPr>
        <w:t>5</w:t>
      </w:r>
      <w:r w:rsidR="00994790">
        <w:rPr>
          <w:rFonts w:ascii="Calibri" w:hAnsi="Calibri" w:cs="Arial"/>
          <w:b/>
          <w:sz w:val="28"/>
          <w:szCs w:val="28"/>
          <w:u w:val="single"/>
        </w:rPr>
        <w:t>.</w:t>
      </w:r>
      <w:r w:rsidR="00DA2047">
        <w:rPr>
          <w:rFonts w:ascii="Calibri" w:hAnsi="Calibri" w:cs="Arial"/>
          <w:b/>
          <w:sz w:val="28"/>
          <w:szCs w:val="28"/>
          <w:u w:val="single"/>
        </w:rPr>
        <w:t> ZÁVEREČNÉ USTANOVENIA</w:t>
      </w:r>
      <w:r w:rsidR="002217E3" w:rsidRPr="00CD441D">
        <w:rPr>
          <w:rFonts w:ascii="Calibri" w:hAnsi="Calibri" w:cs="Arial"/>
          <w:b/>
          <w:sz w:val="28"/>
          <w:szCs w:val="28"/>
          <w:u w:val="single"/>
        </w:rPr>
        <w:t>:</w:t>
      </w:r>
    </w:p>
    <w:p w14:paraId="5F33A2BC" w14:textId="77777777" w:rsidR="001173A4" w:rsidRDefault="001173A4" w:rsidP="001173A4">
      <w:pPr>
        <w:pStyle w:val="Pokraovaniezoznamu4"/>
        <w:spacing w:after="0"/>
        <w:ind w:left="0"/>
        <w:contextualSpacing/>
        <w:rPr>
          <w:rFonts w:ascii="Calibri" w:hAnsi="Calibri" w:cs="Arial"/>
          <w:sz w:val="22"/>
          <w:szCs w:val="22"/>
        </w:rPr>
      </w:pPr>
      <w:r>
        <w:rPr>
          <w:rFonts w:ascii="Calibri" w:hAnsi="Calibri" w:cs="Arial"/>
          <w:sz w:val="22"/>
          <w:szCs w:val="22"/>
        </w:rPr>
        <w:t xml:space="preserve">   </w:t>
      </w:r>
      <w:r w:rsidRPr="00DA2047">
        <w:rPr>
          <w:rFonts w:ascii="Calibri" w:hAnsi="Calibri" w:cs="Arial"/>
          <w:sz w:val="22"/>
          <w:szCs w:val="22"/>
        </w:rPr>
        <w:t>Pri montážnych prácach je potrebné dodržiavať bezpečnostné predpisy a nariadenia o ochrane zdravia a bezpečnosti pracujúcich osôb v zmysle platných predpisov. Montáž a údržbu elektrických zariadení môže vykonávať len oprávnený subjekt, ktorý vlastní oprávneni</w:t>
      </w:r>
      <w:r>
        <w:rPr>
          <w:rFonts w:ascii="Calibri" w:hAnsi="Calibri" w:cs="Arial"/>
          <w:sz w:val="22"/>
          <w:szCs w:val="22"/>
        </w:rPr>
        <w:t xml:space="preserve">e </w:t>
      </w:r>
      <w:r w:rsidRPr="00DA2047">
        <w:rPr>
          <w:rFonts w:ascii="Calibri" w:hAnsi="Calibri" w:cs="Arial"/>
          <w:sz w:val="22"/>
          <w:szCs w:val="22"/>
        </w:rPr>
        <w:t xml:space="preserve"> v zmysle Vyhlášky MPSVaR SR č.508/2009 Z.z. V zmysle zákona NR SR č.124/2006 Z.z., vyhlášky MPSVaR SR č.508/2009 a STN 33 1500 je povinnosťou </w:t>
      </w:r>
    </w:p>
    <w:p w14:paraId="5AF6FFAE" w14:textId="77777777" w:rsidR="001173A4" w:rsidRPr="00DA2047" w:rsidRDefault="001173A4" w:rsidP="001173A4">
      <w:pPr>
        <w:pStyle w:val="Pokraovaniezoznamu4"/>
        <w:spacing w:after="0"/>
        <w:ind w:left="0"/>
        <w:contextualSpacing/>
        <w:rPr>
          <w:rFonts w:ascii="Calibri" w:hAnsi="Calibri" w:cs="Arial"/>
          <w:sz w:val="22"/>
          <w:szCs w:val="22"/>
        </w:rPr>
      </w:pPr>
      <w:r w:rsidRPr="00DA2047">
        <w:rPr>
          <w:rFonts w:ascii="Calibri" w:hAnsi="Calibri" w:cs="Arial"/>
          <w:sz w:val="22"/>
          <w:szCs w:val="22"/>
        </w:rPr>
        <w:t>vykonávať na elektrických zariadeniach pravidelné kontroly za účelom zaistenia bezpečnosti a ochrany zdravia pri práci.</w:t>
      </w:r>
    </w:p>
    <w:p w14:paraId="50BB99F1" w14:textId="77777777" w:rsidR="001173A4" w:rsidRPr="00DA2047" w:rsidRDefault="001173A4" w:rsidP="001173A4">
      <w:pPr>
        <w:pStyle w:val="Pokraovaniezoznamu4"/>
        <w:spacing w:after="0"/>
        <w:ind w:left="0"/>
        <w:contextualSpacing/>
        <w:rPr>
          <w:rFonts w:ascii="Calibri" w:hAnsi="Calibri" w:cs="Arial"/>
          <w:sz w:val="22"/>
          <w:szCs w:val="22"/>
        </w:rPr>
      </w:pPr>
      <w:r w:rsidRPr="00DA2047">
        <w:rPr>
          <w:rFonts w:ascii="Calibri" w:hAnsi="Calibri" w:cs="Arial"/>
          <w:sz w:val="22"/>
          <w:szCs w:val="22"/>
        </w:rPr>
        <w:t xml:space="preserve"> Po montáži pred uvedením elektrického zariadenia do prevádzky musí byť vykonaná prvá odborná prehliadka a odborná skúška (východisková revízia). Výstupom východiskovej revízie je písomný doklad – správa o prvej odbornej prehliadke a odbornej skúške. Elektrické zariadenie sa smie uviesť do prevádzky iba v prípade kladnej východiskovej revízie.</w:t>
      </w:r>
    </w:p>
    <w:p w14:paraId="480D8353" w14:textId="77777777" w:rsidR="001173A4" w:rsidRDefault="001173A4" w:rsidP="001173A4">
      <w:pPr>
        <w:pStyle w:val="Pokraovaniezoznamu4"/>
        <w:spacing w:after="0"/>
        <w:ind w:left="0"/>
        <w:contextualSpacing/>
        <w:rPr>
          <w:rFonts w:ascii="Calibri" w:hAnsi="Calibri" w:cs="Arial"/>
          <w:sz w:val="22"/>
          <w:szCs w:val="22"/>
        </w:rPr>
      </w:pPr>
      <w:r w:rsidRPr="00DA2047">
        <w:rPr>
          <w:rFonts w:ascii="Calibri" w:hAnsi="Calibri" w:cs="Arial"/>
          <w:sz w:val="22"/>
          <w:szCs w:val="22"/>
        </w:rPr>
        <w:t>Na prevádzkovaných elektrických zariadeniach sa musí pravidelne vykonávať pravidelná odborná prehliadka a odborná skúška (periodická revízia) a to v predpísaných lehotách počas celej životnosti elektrického zaria</w:t>
      </w:r>
      <w:r>
        <w:rPr>
          <w:rFonts w:ascii="Calibri" w:hAnsi="Calibri" w:cs="Arial"/>
          <w:sz w:val="22"/>
          <w:szCs w:val="22"/>
        </w:rPr>
        <w:t xml:space="preserve">denia. Po vykonaní </w:t>
      </w:r>
      <w:r w:rsidRPr="00DA2047">
        <w:rPr>
          <w:rFonts w:ascii="Calibri" w:hAnsi="Calibri" w:cs="Arial"/>
          <w:sz w:val="22"/>
          <w:szCs w:val="22"/>
        </w:rPr>
        <w:t xml:space="preserve"> revízie vypracuje elektrotechnik špecialist</w:t>
      </w:r>
      <w:r>
        <w:rPr>
          <w:rFonts w:ascii="Calibri" w:hAnsi="Calibri" w:cs="Arial"/>
          <w:sz w:val="22"/>
          <w:szCs w:val="22"/>
        </w:rPr>
        <w:t>a správu o</w:t>
      </w:r>
      <w:r w:rsidRPr="00DA2047">
        <w:rPr>
          <w:rFonts w:ascii="Calibri" w:hAnsi="Calibri" w:cs="Arial"/>
          <w:sz w:val="22"/>
          <w:szCs w:val="22"/>
        </w:rPr>
        <w:t xml:space="preserve"> odbornej prehliadke a odbornej skúške. Lehoty vykonávania periodických revizií sa musia dodržať podľa vyhlášky MPSVaR SR č.508/2009 Z.z. a STN 33 1500 tieto musí zabezpečiť prevádzkovateľ zariadenia. </w:t>
      </w:r>
    </w:p>
    <w:p w14:paraId="4973D9A6" w14:textId="77777777" w:rsidR="001173A4" w:rsidRPr="00366002" w:rsidRDefault="001173A4" w:rsidP="001173A4">
      <w:pPr>
        <w:pStyle w:val="Pokraovaniezoznamu4"/>
        <w:spacing w:after="0"/>
        <w:ind w:left="0"/>
        <w:contextualSpacing/>
        <w:jc w:val="both"/>
        <w:rPr>
          <w:rFonts w:ascii="Calibri" w:hAnsi="Calibri" w:cs="Arial"/>
          <w:sz w:val="22"/>
          <w:szCs w:val="22"/>
        </w:rPr>
      </w:pPr>
      <w:r w:rsidRPr="00366002">
        <w:rPr>
          <w:rFonts w:ascii="Calibri" w:hAnsi="Calibri" w:cs="Arial"/>
          <w:sz w:val="22"/>
          <w:szCs w:val="22"/>
        </w:rPr>
        <w:t>Pracovníci dodávateľa musia byť oboznámení s bez</w:t>
      </w:r>
      <w:r>
        <w:rPr>
          <w:rFonts w:ascii="Calibri" w:hAnsi="Calibri" w:cs="Arial"/>
          <w:sz w:val="22"/>
          <w:szCs w:val="22"/>
        </w:rPr>
        <w:t>pečnostnými  predpismi</w:t>
      </w:r>
      <w:r w:rsidRPr="00366002">
        <w:rPr>
          <w:rFonts w:ascii="Calibri" w:hAnsi="Calibri" w:cs="Arial"/>
          <w:sz w:val="22"/>
          <w:szCs w:val="22"/>
        </w:rPr>
        <w:t xml:space="preserve"> na stavbe.</w:t>
      </w:r>
    </w:p>
    <w:p w14:paraId="7C718E9E" w14:textId="77777777" w:rsidR="001173A4" w:rsidRPr="00366002" w:rsidRDefault="001173A4" w:rsidP="001173A4">
      <w:pPr>
        <w:pStyle w:val="Pokraovaniezoznamu4"/>
        <w:spacing w:after="0"/>
        <w:ind w:left="0"/>
        <w:contextualSpacing/>
        <w:jc w:val="both"/>
        <w:rPr>
          <w:rFonts w:ascii="Calibri" w:hAnsi="Calibri" w:cs="Arial"/>
          <w:sz w:val="22"/>
          <w:szCs w:val="22"/>
        </w:rPr>
      </w:pPr>
      <w:r w:rsidRPr="00366002">
        <w:rPr>
          <w:rFonts w:ascii="Calibri" w:hAnsi="Calibri" w:cs="Arial"/>
          <w:sz w:val="22"/>
          <w:szCs w:val="22"/>
        </w:rPr>
        <w:t xml:space="preserve">Montážne práce je potrebné prevádzať tak, aby počas realizácie stavby nebolo zhoršené životné prostredie. </w:t>
      </w:r>
    </w:p>
    <w:p w14:paraId="2B793105" w14:textId="77777777" w:rsidR="001173A4" w:rsidRPr="00366002" w:rsidRDefault="001173A4" w:rsidP="001173A4">
      <w:pPr>
        <w:pStyle w:val="Pokraovaniezoznamu4"/>
        <w:spacing w:after="0"/>
        <w:ind w:left="0"/>
        <w:contextualSpacing/>
        <w:jc w:val="both"/>
        <w:rPr>
          <w:rFonts w:ascii="Calibri" w:hAnsi="Calibri" w:cs="Arial"/>
          <w:sz w:val="22"/>
          <w:szCs w:val="22"/>
        </w:rPr>
      </w:pPr>
      <w:r w:rsidRPr="00366002">
        <w:rPr>
          <w:rFonts w:ascii="Calibri" w:hAnsi="Calibri" w:cs="Arial"/>
          <w:sz w:val="22"/>
          <w:szCs w:val="22"/>
        </w:rPr>
        <w:t>Všetky odpady, ktoré ostanú po stavbe uskladňovať len na miesta</w:t>
      </w:r>
      <w:r>
        <w:rPr>
          <w:rFonts w:ascii="Calibri" w:hAnsi="Calibri" w:cs="Arial"/>
          <w:sz w:val="22"/>
          <w:szCs w:val="22"/>
        </w:rPr>
        <w:t xml:space="preserve">ch na to určených. </w:t>
      </w:r>
    </w:p>
    <w:p w14:paraId="635A5CC3" w14:textId="77777777" w:rsidR="001173A4" w:rsidRPr="00366002" w:rsidRDefault="001173A4" w:rsidP="001173A4">
      <w:pPr>
        <w:pStyle w:val="Zarkazkladnhotextu"/>
        <w:spacing w:after="0"/>
        <w:ind w:left="0"/>
        <w:contextualSpacing/>
        <w:rPr>
          <w:rFonts w:ascii="Calibri" w:hAnsi="Calibri" w:cs="Arial"/>
          <w:sz w:val="22"/>
          <w:szCs w:val="22"/>
        </w:rPr>
      </w:pPr>
      <w:r w:rsidRPr="00366002">
        <w:rPr>
          <w:rFonts w:ascii="Calibri" w:hAnsi="Calibri" w:cs="Arial"/>
          <w:sz w:val="22"/>
          <w:szCs w:val="22"/>
        </w:rPr>
        <w:t>Nároky na údržbu počas prevádzky sú minimálne, obmedzujúce sa na prípadné opravy.</w:t>
      </w:r>
    </w:p>
    <w:p w14:paraId="1CA59DC7" w14:textId="77777777" w:rsidR="001173A4" w:rsidRPr="00366002" w:rsidRDefault="001173A4" w:rsidP="001173A4">
      <w:pPr>
        <w:pStyle w:val="Zarkazkladnhotextu"/>
        <w:spacing w:after="0"/>
        <w:ind w:left="0"/>
        <w:contextualSpacing/>
        <w:rPr>
          <w:rFonts w:ascii="Calibri" w:hAnsi="Calibri" w:cs="Arial"/>
          <w:sz w:val="22"/>
          <w:szCs w:val="22"/>
        </w:rPr>
      </w:pPr>
      <w:r w:rsidRPr="00366002">
        <w:rPr>
          <w:rFonts w:ascii="Calibri" w:hAnsi="Calibri" w:cs="Arial"/>
          <w:sz w:val="22"/>
          <w:szCs w:val="22"/>
        </w:rPr>
        <w:t>Realizácia predmetnej časti stavby v projektovanom rozsahu, a ani jej následná prevádzka nebude mať nepriaznivý vplyv na životné prostredie dotknutej lokality.</w:t>
      </w:r>
      <w:r>
        <w:rPr>
          <w:rFonts w:ascii="Calibri" w:hAnsi="Calibri" w:cs="Arial"/>
          <w:sz w:val="22"/>
          <w:szCs w:val="22"/>
        </w:rPr>
        <w:t xml:space="preserve"> </w:t>
      </w:r>
    </w:p>
    <w:p w14:paraId="5CB62733" w14:textId="708D3B5E" w:rsidR="006F7EC2" w:rsidRPr="006F7EC2" w:rsidRDefault="006F7EC2" w:rsidP="00760A1C">
      <w:pPr>
        <w:outlineLvl w:val="0"/>
        <w:rPr>
          <w:rFonts w:asciiTheme="minorHAnsi" w:hAnsiTheme="minorHAnsi"/>
          <w:sz w:val="22"/>
          <w:szCs w:val="22"/>
        </w:rPr>
      </w:pPr>
      <w:r w:rsidRPr="006F7EC2">
        <w:rPr>
          <w:rFonts w:asciiTheme="minorHAnsi" w:hAnsiTheme="minorHAnsi"/>
          <w:sz w:val="22"/>
          <w:szCs w:val="22"/>
        </w:rPr>
        <w:t xml:space="preserve"> </w:t>
      </w:r>
    </w:p>
    <w:p w14:paraId="530AC218" w14:textId="77777777" w:rsidR="006D3514" w:rsidRDefault="006D3514" w:rsidP="006F7EC2">
      <w:pPr>
        <w:pStyle w:val="Pokraovaniezoznamu4"/>
        <w:spacing w:after="0"/>
        <w:ind w:left="0"/>
        <w:contextualSpacing/>
        <w:rPr>
          <w:rFonts w:ascii="Calibri" w:hAnsi="Calibri" w:cs="Arial"/>
          <w:sz w:val="22"/>
          <w:szCs w:val="22"/>
        </w:rPr>
      </w:pPr>
    </w:p>
    <w:p w14:paraId="5EC4E224" w14:textId="77777777" w:rsidR="00D75820" w:rsidRPr="00D75820" w:rsidRDefault="00D75820" w:rsidP="00DA2047">
      <w:pPr>
        <w:pStyle w:val="Pokraovaniezoznamu4"/>
        <w:spacing w:after="0"/>
        <w:ind w:left="0"/>
        <w:contextualSpacing/>
        <w:rPr>
          <w:rFonts w:asciiTheme="minorHAnsi" w:hAnsiTheme="minorHAnsi" w:cs="Arial"/>
          <w:sz w:val="22"/>
          <w:szCs w:val="22"/>
        </w:rPr>
      </w:pPr>
    </w:p>
    <w:p w14:paraId="42246D99" w14:textId="77777777" w:rsidR="00D75820" w:rsidRDefault="00D75820" w:rsidP="00DA2047">
      <w:pPr>
        <w:pStyle w:val="Pokraovaniezoznamu4"/>
        <w:spacing w:after="0"/>
        <w:ind w:left="0"/>
        <w:contextualSpacing/>
        <w:rPr>
          <w:rFonts w:ascii="Calibri" w:hAnsi="Calibri" w:cs="Arial"/>
          <w:sz w:val="22"/>
          <w:szCs w:val="22"/>
        </w:rPr>
      </w:pPr>
    </w:p>
    <w:p w14:paraId="0A8D5D5A" w14:textId="77777777" w:rsidR="00B453C0" w:rsidRPr="00366002" w:rsidRDefault="00B453C0" w:rsidP="005614F0">
      <w:pPr>
        <w:pStyle w:val="Zarkazkladnhotextu"/>
        <w:spacing w:after="0"/>
        <w:ind w:left="0" w:firstLine="284"/>
        <w:contextualSpacing/>
        <w:rPr>
          <w:rFonts w:ascii="Calibri" w:hAnsi="Calibri" w:cs="Arial"/>
          <w:sz w:val="22"/>
          <w:szCs w:val="22"/>
        </w:rPr>
      </w:pPr>
    </w:p>
    <w:p w14:paraId="6C430635" w14:textId="1820EAC2" w:rsidR="002217E3" w:rsidRDefault="00DA2047" w:rsidP="005614F0">
      <w:pPr>
        <w:contextualSpacing/>
        <w:jc w:val="both"/>
        <w:rPr>
          <w:rFonts w:ascii="Calibri" w:hAnsi="Calibri" w:cs="Arial"/>
          <w:sz w:val="22"/>
          <w:szCs w:val="22"/>
        </w:rPr>
      </w:pPr>
      <w:r>
        <w:rPr>
          <w:rFonts w:ascii="Calibri" w:hAnsi="Calibri" w:cs="Arial"/>
          <w:sz w:val="22"/>
          <w:szCs w:val="22"/>
        </w:rPr>
        <w:t xml:space="preserve">Košice </w:t>
      </w:r>
      <w:r w:rsidR="003D400E">
        <w:rPr>
          <w:rFonts w:ascii="Calibri" w:hAnsi="Calibri" w:cs="Arial"/>
          <w:sz w:val="22"/>
          <w:szCs w:val="22"/>
        </w:rPr>
        <w:t>12</w:t>
      </w:r>
      <w:r w:rsidR="003D4A69" w:rsidRPr="00366002">
        <w:rPr>
          <w:rFonts w:ascii="Calibri" w:hAnsi="Calibri" w:cs="Arial"/>
          <w:sz w:val="22"/>
          <w:szCs w:val="22"/>
        </w:rPr>
        <w:t xml:space="preserve"> /</w:t>
      </w:r>
      <w:r w:rsidR="002217E3" w:rsidRPr="00366002">
        <w:rPr>
          <w:rFonts w:ascii="Calibri" w:hAnsi="Calibri" w:cs="Arial"/>
          <w:sz w:val="22"/>
          <w:szCs w:val="22"/>
        </w:rPr>
        <w:t xml:space="preserve"> 20</w:t>
      </w:r>
      <w:r w:rsidR="00811467">
        <w:rPr>
          <w:rFonts w:ascii="Calibri" w:hAnsi="Calibri" w:cs="Arial"/>
          <w:sz w:val="22"/>
          <w:szCs w:val="22"/>
        </w:rPr>
        <w:t>2</w:t>
      </w:r>
      <w:r w:rsidR="003D400E">
        <w:rPr>
          <w:rFonts w:ascii="Calibri" w:hAnsi="Calibri" w:cs="Arial"/>
          <w:sz w:val="22"/>
          <w:szCs w:val="22"/>
        </w:rPr>
        <w:t>3</w:t>
      </w:r>
      <w:r w:rsidR="002217E3" w:rsidRPr="00366002">
        <w:rPr>
          <w:rFonts w:ascii="Calibri" w:hAnsi="Calibri" w:cs="Arial"/>
          <w:sz w:val="22"/>
          <w:szCs w:val="22"/>
        </w:rPr>
        <w:t xml:space="preserve">                                                         </w:t>
      </w:r>
      <w:r w:rsidR="00996165">
        <w:rPr>
          <w:rFonts w:ascii="Calibri" w:hAnsi="Calibri" w:cs="Arial"/>
          <w:sz w:val="22"/>
          <w:szCs w:val="22"/>
        </w:rPr>
        <w:t xml:space="preserve">                                     </w:t>
      </w:r>
      <w:r w:rsidR="002217E3" w:rsidRPr="00366002">
        <w:rPr>
          <w:rFonts w:ascii="Calibri" w:hAnsi="Calibri" w:cs="Arial"/>
          <w:sz w:val="22"/>
          <w:szCs w:val="22"/>
        </w:rPr>
        <w:t xml:space="preserve">Vypracoval: Ing. </w:t>
      </w:r>
      <w:r w:rsidR="005614F0">
        <w:rPr>
          <w:rFonts w:ascii="Calibri" w:hAnsi="Calibri" w:cs="Arial"/>
          <w:sz w:val="22"/>
          <w:szCs w:val="22"/>
        </w:rPr>
        <w:t>Peter Cehlár</w:t>
      </w:r>
      <w:r w:rsidR="00E72FA8">
        <w:rPr>
          <w:rFonts w:ascii="Calibri" w:hAnsi="Calibri" w:cs="Arial"/>
          <w:sz w:val="22"/>
          <w:szCs w:val="22"/>
        </w:rPr>
        <w:t xml:space="preserve"> a kolektív</w:t>
      </w:r>
    </w:p>
    <w:p w14:paraId="62520827" w14:textId="77777777" w:rsidR="00DA2047" w:rsidRDefault="00DA2047" w:rsidP="005614F0">
      <w:pPr>
        <w:contextualSpacing/>
        <w:jc w:val="both"/>
        <w:rPr>
          <w:rFonts w:ascii="Calibri" w:hAnsi="Calibri" w:cs="Arial"/>
          <w:sz w:val="22"/>
          <w:szCs w:val="22"/>
        </w:rPr>
      </w:pPr>
    </w:p>
    <w:p w14:paraId="000FA566" w14:textId="77777777" w:rsidR="001622D7" w:rsidRDefault="001622D7" w:rsidP="005614F0">
      <w:pPr>
        <w:contextualSpacing/>
        <w:jc w:val="both"/>
        <w:rPr>
          <w:rFonts w:ascii="Calibri" w:hAnsi="Calibri" w:cs="Arial"/>
          <w:bCs/>
          <w:sz w:val="28"/>
          <w:szCs w:val="28"/>
        </w:rPr>
      </w:pPr>
    </w:p>
    <w:p w14:paraId="7348FCBD" w14:textId="28CCF30D" w:rsidR="003671C1" w:rsidRDefault="003671C1" w:rsidP="005614F0">
      <w:pPr>
        <w:contextualSpacing/>
        <w:jc w:val="both"/>
        <w:rPr>
          <w:rFonts w:ascii="Calibri" w:hAnsi="Calibri" w:cs="Arial"/>
          <w:bCs/>
          <w:sz w:val="28"/>
          <w:szCs w:val="28"/>
        </w:rPr>
      </w:pPr>
    </w:p>
    <w:p w14:paraId="5994F8A9" w14:textId="43145B6A" w:rsidR="00CA65C8" w:rsidRDefault="00CA65C8" w:rsidP="005614F0">
      <w:pPr>
        <w:contextualSpacing/>
        <w:jc w:val="both"/>
        <w:rPr>
          <w:rFonts w:ascii="Calibri" w:hAnsi="Calibri" w:cs="Arial"/>
          <w:bCs/>
          <w:sz w:val="28"/>
          <w:szCs w:val="28"/>
        </w:rPr>
      </w:pPr>
    </w:p>
    <w:sectPr w:rsidR="00CA65C8" w:rsidSect="005B1F41">
      <w:headerReference w:type="default" r:id="rId8"/>
      <w:footerReference w:type="default" r:id="rId9"/>
      <w:pgSz w:w="11907" w:h="16840" w:code="9"/>
      <w:pgMar w:top="567" w:right="851" w:bottom="1276" w:left="1134" w:header="340" w:footer="851"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41F06" w14:textId="77777777" w:rsidR="0025603C" w:rsidRDefault="0025603C">
      <w:r>
        <w:separator/>
      </w:r>
    </w:p>
  </w:endnote>
  <w:endnote w:type="continuationSeparator" w:id="0">
    <w:p w14:paraId="22C094D5" w14:textId="77777777" w:rsidR="0025603C" w:rsidRDefault="00256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NewRomanPSMT">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1899A" w14:textId="77777777" w:rsidR="0025603C" w:rsidRDefault="0025603C">
    <w:pPr>
      <w:pStyle w:val="Pta"/>
      <w:framePr w:wrap="auto" w:vAnchor="text" w:hAnchor="page" w:x="10342" w:y="-45"/>
      <w:rPr>
        <w:rStyle w:val="slostrany"/>
        <w:b/>
      </w:rPr>
    </w:pPr>
    <w:r>
      <w:rPr>
        <w:rStyle w:val="slostrany"/>
        <w:b/>
      </w:rPr>
      <w:t xml:space="preserve">    </w:t>
    </w:r>
  </w:p>
  <w:p w14:paraId="38688B4C" w14:textId="53E89D1E" w:rsidR="0025603C" w:rsidRDefault="00404492">
    <w:pPr>
      <w:pStyle w:val="Pta"/>
      <w:rPr>
        <w:rFonts w:ascii="Arial" w:hAnsi="Arial" w:cs="Arial"/>
        <w:b/>
        <w:bCs/>
      </w:rPr>
    </w:pPr>
    <w:r>
      <w:rPr>
        <w:noProof/>
      </w:rPr>
      <w:pict w14:anchorId="3977A6AB">
        <v:line id="Line 1" o:spid="_x0000_s44033"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pt,-8pt" to="497.65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" o:allowincell="f" strokeweight=".25pt"/>
      </w:pict>
    </w:r>
    <w:r w:rsidR="00C71BF3">
      <w:rPr>
        <w:noProof/>
      </w:rPr>
      <w:t xml:space="preserve">SO – </w:t>
    </w:r>
    <w:r>
      <w:rPr>
        <w:noProof/>
      </w:rPr>
      <w:t>15.1</w:t>
    </w:r>
    <w:r w:rsidR="00C71BF3">
      <w:rPr>
        <w:noProof/>
      </w:rPr>
      <w:t xml:space="preserve"> Vyšné Nemecké</w:t>
    </w:r>
    <w:r w:rsidR="0025603C">
      <w:rPr>
        <w:rFonts w:ascii="Arial" w:hAnsi="Arial" w:cs="Arial"/>
        <w:bCs/>
        <w:noProof/>
        <w:sz w:val="20"/>
      </w:rPr>
      <w:t xml:space="preserve"> </w:t>
    </w:r>
    <w:r w:rsidR="0025603C" w:rsidRPr="00D06851">
      <w:rPr>
        <w:rFonts w:ascii="Arial" w:hAnsi="Arial" w:cs="Arial"/>
        <w:bCs/>
        <w:noProof/>
        <w:sz w:val="20"/>
      </w:rPr>
      <w:tab/>
    </w:r>
    <w:r w:rsidR="0025603C" w:rsidRPr="00D06851">
      <w:rPr>
        <w:rFonts w:ascii="Arial" w:hAnsi="Arial" w:cs="Arial"/>
        <w:sz w:val="20"/>
      </w:rPr>
      <w:tab/>
      <w:t xml:space="preserve">Technická správa </w:t>
    </w:r>
    <w:r w:rsidR="0025603C">
      <w:t xml:space="preserve">                                 str </w:t>
    </w:r>
    <w:r w:rsidR="0025603C">
      <w:rPr>
        <w:rFonts w:ascii="Arial" w:hAnsi="Arial" w:cs="Arial"/>
        <w:b/>
        <w:bCs/>
      </w:rPr>
      <w:t xml:space="preserve">.:  </w:t>
    </w:r>
    <w:r w:rsidR="004D2F86">
      <w:rPr>
        <w:rStyle w:val="slostrany"/>
        <w:rFonts w:ascii="Arial" w:hAnsi="Arial" w:cs="Arial"/>
        <w:b/>
        <w:bCs/>
      </w:rPr>
      <w:fldChar w:fldCharType="begin"/>
    </w:r>
    <w:r w:rsidR="0025603C">
      <w:rPr>
        <w:rStyle w:val="slostrany"/>
        <w:rFonts w:ascii="Arial" w:hAnsi="Arial" w:cs="Arial"/>
        <w:b/>
        <w:bCs/>
      </w:rPr>
      <w:instrText xml:space="preserve"> PAGE </w:instrText>
    </w:r>
    <w:r w:rsidR="004D2F86">
      <w:rPr>
        <w:rStyle w:val="slostrany"/>
        <w:rFonts w:ascii="Arial" w:hAnsi="Arial" w:cs="Arial"/>
        <w:b/>
        <w:bCs/>
      </w:rPr>
      <w:fldChar w:fldCharType="separate"/>
    </w:r>
    <w:r w:rsidR="001D2057">
      <w:rPr>
        <w:rStyle w:val="slostrany"/>
        <w:rFonts w:ascii="Arial" w:hAnsi="Arial" w:cs="Arial"/>
        <w:b/>
        <w:bCs/>
        <w:noProof/>
      </w:rPr>
      <w:t>7</w:t>
    </w:r>
    <w:r w:rsidR="004D2F86">
      <w:rPr>
        <w:rStyle w:val="slostrany"/>
        <w:rFonts w:ascii="Arial" w:hAnsi="Arial" w:cs="Arial"/>
        <w:b/>
        <w:bCs/>
      </w:rPr>
      <w:fldChar w:fldCharType="end"/>
    </w:r>
    <w:r w:rsidR="0025603C">
      <w:rPr>
        <w:rFonts w:ascii="Arial" w:hAnsi="Arial" w:cs="Arial"/>
        <w:b/>
        <w:bCs/>
      </w:rPr>
      <w:t xml:space="preserve">  z  </w:t>
    </w:r>
    <w:r w:rsidR="004D2F86">
      <w:rPr>
        <w:rStyle w:val="slostrany"/>
        <w:rFonts w:ascii="Arial" w:hAnsi="Arial" w:cs="Arial"/>
        <w:b/>
        <w:bCs/>
      </w:rPr>
      <w:fldChar w:fldCharType="begin"/>
    </w:r>
    <w:r w:rsidR="0025603C">
      <w:rPr>
        <w:rStyle w:val="slostrany"/>
        <w:rFonts w:ascii="Arial" w:hAnsi="Arial" w:cs="Arial"/>
        <w:b/>
        <w:bCs/>
      </w:rPr>
      <w:instrText xml:space="preserve"> NUMPAGES </w:instrText>
    </w:r>
    <w:r w:rsidR="004D2F86">
      <w:rPr>
        <w:rStyle w:val="slostrany"/>
        <w:rFonts w:ascii="Arial" w:hAnsi="Arial" w:cs="Arial"/>
        <w:b/>
        <w:bCs/>
      </w:rPr>
      <w:fldChar w:fldCharType="separate"/>
    </w:r>
    <w:r w:rsidR="001D2057">
      <w:rPr>
        <w:rStyle w:val="slostrany"/>
        <w:rFonts w:ascii="Arial" w:hAnsi="Arial" w:cs="Arial"/>
        <w:b/>
        <w:bCs/>
        <w:noProof/>
      </w:rPr>
      <w:t>7</w:t>
    </w:r>
    <w:r w:rsidR="004D2F86">
      <w:rPr>
        <w:rStyle w:val="slostrany"/>
        <w:rFonts w:ascii="Arial" w:hAnsi="Arial" w:cs="Arial"/>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4D1D3" w14:textId="77777777" w:rsidR="0025603C" w:rsidRDefault="0025603C">
      <w:r>
        <w:separator/>
      </w:r>
    </w:p>
  </w:footnote>
  <w:footnote w:type="continuationSeparator" w:id="0">
    <w:p w14:paraId="56D5C0C0" w14:textId="77777777" w:rsidR="0025603C" w:rsidRDefault="002560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AD186" w14:textId="77777777" w:rsidR="0025603C" w:rsidRDefault="0025603C">
    <w:pPr>
      <w:pStyle w:val="Hlavika"/>
      <w:framePr w:wrap="auto" w:vAnchor="text" w:hAnchor="margin" w:xAlign="center" w:y="1"/>
      <w:rPr>
        <w:rStyle w:val="slostrany"/>
      </w:rPr>
    </w:pPr>
  </w:p>
  <w:p w14:paraId="1FE4A8DF" w14:textId="77777777" w:rsidR="0025603C" w:rsidRDefault="0025603C">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lvl>
    <w:lvl w:ilvl="1">
      <w:start w:val="1"/>
      <w:numFmt w:val="none"/>
      <w:suff w:val="nothing"/>
      <w:lvlText w:val=""/>
      <w:lvlJc w:val="left"/>
    </w:lvl>
    <w:lvl w:ilvl="2">
      <w:start w:val="1"/>
      <w:numFmt w:val="none"/>
      <w:suff w:val="nothing"/>
      <w:lvlText w:val=""/>
      <w:lvlJc w:val="left"/>
    </w:lvl>
    <w:lvl w:ilvl="3">
      <w:start w:val="1"/>
      <w:numFmt w:val="none"/>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abstractNum w:abstractNumId="1" w15:restartNumberingAfterBreak="0">
    <w:nsid w:val="147E4CB5"/>
    <w:multiLevelType w:val="hybridMultilevel"/>
    <w:tmpl w:val="651A2A54"/>
    <w:lvl w:ilvl="0" w:tplc="81EE24D4">
      <w:start w:val="2"/>
      <w:numFmt w:val="bullet"/>
      <w:lvlText w:val="-"/>
      <w:lvlJc w:val="left"/>
      <w:pPr>
        <w:tabs>
          <w:tab w:val="num" w:pos="435"/>
        </w:tabs>
        <w:ind w:left="435" w:hanging="360"/>
      </w:pPr>
      <w:rPr>
        <w:rFonts w:ascii="Arial" w:eastAsia="Times New Roman" w:hAnsi="Arial" w:cs="Arial" w:hint="default"/>
      </w:rPr>
    </w:lvl>
    <w:lvl w:ilvl="1" w:tplc="041B0003" w:tentative="1">
      <w:start w:val="1"/>
      <w:numFmt w:val="bullet"/>
      <w:lvlText w:val="o"/>
      <w:lvlJc w:val="left"/>
      <w:pPr>
        <w:tabs>
          <w:tab w:val="num" w:pos="1155"/>
        </w:tabs>
        <w:ind w:left="1155" w:hanging="360"/>
      </w:pPr>
      <w:rPr>
        <w:rFonts w:ascii="Courier New" w:hAnsi="Courier New" w:cs="Courier New" w:hint="default"/>
      </w:rPr>
    </w:lvl>
    <w:lvl w:ilvl="2" w:tplc="041B0005" w:tentative="1">
      <w:start w:val="1"/>
      <w:numFmt w:val="bullet"/>
      <w:lvlText w:val=""/>
      <w:lvlJc w:val="left"/>
      <w:pPr>
        <w:tabs>
          <w:tab w:val="num" w:pos="1875"/>
        </w:tabs>
        <w:ind w:left="1875" w:hanging="360"/>
      </w:pPr>
      <w:rPr>
        <w:rFonts w:ascii="Wingdings" w:hAnsi="Wingdings" w:hint="default"/>
      </w:rPr>
    </w:lvl>
    <w:lvl w:ilvl="3" w:tplc="041B0001" w:tentative="1">
      <w:start w:val="1"/>
      <w:numFmt w:val="bullet"/>
      <w:lvlText w:val=""/>
      <w:lvlJc w:val="left"/>
      <w:pPr>
        <w:tabs>
          <w:tab w:val="num" w:pos="2595"/>
        </w:tabs>
        <w:ind w:left="2595" w:hanging="360"/>
      </w:pPr>
      <w:rPr>
        <w:rFonts w:ascii="Symbol" w:hAnsi="Symbol" w:hint="default"/>
      </w:rPr>
    </w:lvl>
    <w:lvl w:ilvl="4" w:tplc="041B0003" w:tentative="1">
      <w:start w:val="1"/>
      <w:numFmt w:val="bullet"/>
      <w:lvlText w:val="o"/>
      <w:lvlJc w:val="left"/>
      <w:pPr>
        <w:tabs>
          <w:tab w:val="num" w:pos="3315"/>
        </w:tabs>
        <w:ind w:left="3315" w:hanging="360"/>
      </w:pPr>
      <w:rPr>
        <w:rFonts w:ascii="Courier New" w:hAnsi="Courier New" w:cs="Courier New" w:hint="default"/>
      </w:rPr>
    </w:lvl>
    <w:lvl w:ilvl="5" w:tplc="041B0005" w:tentative="1">
      <w:start w:val="1"/>
      <w:numFmt w:val="bullet"/>
      <w:lvlText w:val=""/>
      <w:lvlJc w:val="left"/>
      <w:pPr>
        <w:tabs>
          <w:tab w:val="num" w:pos="4035"/>
        </w:tabs>
        <w:ind w:left="4035" w:hanging="360"/>
      </w:pPr>
      <w:rPr>
        <w:rFonts w:ascii="Wingdings" w:hAnsi="Wingdings" w:hint="default"/>
      </w:rPr>
    </w:lvl>
    <w:lvl w:ilvl="6" w:tplc="041B0001" w:tentative="1">
      <w:start w:val="1"/>
      <w:numFmt w:val="bullet"/>
      <w:lvlText w:val=""/>
      <w:lvlJc w:val="left"/>
      <w:pPr>
        <w:tabs>
          <w:tab w:val="num" w:pos="4755"/>
        </w:tabs>
        <w:ind w:left="4755" w:hanging="360"/>
      </w:pPr>
      <w:rPr>
        <w:rFonts w:ascii="Symbol" w:hAnsi="Symbol" w:hint="default"/>
      </w:rPr>
    </w:lvl>
    <w:lvl w:ilvl="7" w:tplc="041B0003" w:tentative="1">
      <w:start w:val="1"/>
      <w:numFmt w:val="bullet"/>
      <w:lvlText w:val="o"/>
      <w:lvlJc w:val="left"/>
      <w:pPr>
        <w:tabs>
          <w:tab w:val="num" w:pos="5475"/>
        </w:tabs>
        <w:ind w:left="5475" w:hanging="360"/>
      </w:pPr>
      <w:rPr>
        <w:rFonts w:ascii="Courier New" w:hAnsi="Courier New" w:cs="Courier New" w:hint="default"/>
      </w:rPr>
    </w:lvl>
    <w:lvl w:ilvl="8" w:tplc="041B0005" w:tentative="1">
      <w:start w:val="1"/>
      <w:numFmt w:val="bullet"/>
      <w:lvlText w:val=""/>
      <w:lvlJc w:val="left"/>
      <w:pPr>
        <w:tabs>
          <w:tab w:val="num" w:pos="6195"/>
        </w:tabs>
        <w:ind w:left="6195" w:hanging="360"/>
      </w:pPr>
      <w:rPr>
        <w:rFonts w:ascii="Wingdings" w:hAnsi="Wingdings" w:hint="default"/>
      </w:rPr>
    </w:lvl>
  </w:abstractNum>
  <w:abstractNum w:abstractNumId="2" w15:restartNumberingAfterBreak="0">
    <w:nsid w:val="19C30E92"/>
    <w:multiLevelType w:val="hybridMultilevel"/>
    <w:tmpl w:val="780E54F4"/>
    <w:lvl w:ilvl="0" w:tplc="80AA5676">
      <w:start w:val="4"/>
      <w:numFmt w:val="bullet"/>
      <w:lvlText w:val="-"/>
      <w:lvlJc w:val="left"/>
      <w:pPr>
        <w:ind w:left="502" w:hanging="360"/>
      </w:pPr>
      <w:rPr>
        <w:rFonts w:ascii="Arial" w:eastAsia="Times New Roman" w:hAnsi="Arial" w:cs="Arial" w:hint="default"/>
      </w:rPr>
    </w:lvl>
    <w:lvl w:ilvl="1" w:tplc="041B0003" w:tentative="1">
      <w:start w:val="1"/>
      <w:numFmt w:val="bullet"/>
      <w:lvlText w:val="o"/>
      <w:lvlJc w:val="left"/>
      <w:pPr>
        <w:ind w:left="1222" w:hanging="360"/>
      </w:pPr>
      <w:rPr>
        <w:rFonts w:ascii="Courier New" w:hAnsi="Courier New" w:cs="Courier New" w:hint="default"/>
      </w:rPr>
    </w:lvl>
    <w:lvl w:ilvl="2" w:tplc="041B0005" w:tentative="1">
      <w:start w:val="1"/>
      <w:numFmt w:val="bullet"/>
      <w:lvlText w:val=""/>
      <w:lvlJc w:val="left"/>
      <w:pPr>
        <w:ind w:left="1942" w:hanging="360"/>
      </w:pPr>
      <w:rPr>
        <w:rFonts w:ascii="Wingdings" w:hAnsi="Wingdings" w:hint="default"/>
      </w:rPr>
    </w:lvl>
    <w:lvl w:ilvl="3" w:tplc="041B0001" w:tentative="1">
      <w:start w:val="1"/>
      <w:numFmt w:val="bullet"/>
      <w:lvlText w:val=""/>
      <w:lvlJc w:val="left"/>
      <w:pPr>
        <w:ind w:left="2662" w:hanging="360"/>
      </w:pPr>
      <w:rPr>
        <w:rFonts w:ascii="Symbol" w:hAnsi="Symbol" w:hint="default"/>
      </w:rPr>
    </w:lvl>
    <w:lvl w:ilvl="4" w:tplc="041B0003" w:tentative="1">
      <w:start w:val="1"/>
      <w:numFmt w:val="bullet"/>
      <w:lvlText w:val="o"/>
      <w:lvlJc w:val="left"/>
      <w:pPr>
        <w:ind w:left="3382" w:hanging="360"/>
      </w:pPr>
      <w:rPr>
        <w:rFonts w:ascii="Courier New" w:hAnsi="Courier New" w:cs="Courier New" w:hint="default"/>
      </w:rPr>
    </w:lvl>
    <w:lvl w:ilvl="5" w:tplc="041B0005" w:tentative="1">
      <w:start w:val="1"/>
      <w:numFmt w:val="bullet"/>
      <w:lvlText w:val=""/>
      <w:lvlJc w:val="left"/>
      <w:pPr>
        <w:ind w:left="4102" w:hanging="360"/>
      </w:pPr>
      <w:rPr>
        <w:rFonts w:ascii="Wingdings" w:hAnsi="Wingdings" w:hint="default"/>
      </w:rPr>
    </w:lvl>
    <w:lvl w:ilvl="6" w:tplc="041B0001" w:tentative="1">
      <w:start w:val="1"/>
      <w:numFmt w:val="bullet"/>
      <w:lvlText w:val=""/>
      <w:lvlJc w:val="left"/>
      <w:pPr>
        <w:ind w:left="4822" w:hanging="360"/>
      </w:pPr>
      <w:rPr>
        <w:rFonts w:ascii="Symbol" w:hAnsi="Symbol" w:hint="default"/>
      </w:rPr>
    </w:lvl>
    <w:lvl w:ilvl="7" w:tplc="041B0003" w:tentative="1">
      <w:start w:val="1"/>
      <w:numFmt w:val="bullet"/>
      <w:lvlText w:val="o"/>
      <w:lvlJc w:val="left"/>
      <w:pPr>
        <w:ind w:left="5542" w:hanging="360"/>
      </w:pPr>
      <w:rPr>
        <w:rFonts w:ascii="Courier New" w:hAnsi="Courier New" w:cs="Courier New" w:hint="default"/>
      </w:rPr>
    </w:lvl>
    <w:lvl w:ilvl="8" w:tplc="041B0005" w:tentative="1">
      <w:start w:val="1"/>
      <w:numFmt w:val="bullet"/>
      <w:lvlText w:val=""/>
      <w:lvlJc w:val="left"/>
      <w:pPr>
        <w:ind w:left="6262" w:hanging="360"/>
      </w:pPr>
      <w:rPr>
        <w:rFonts w:ascii="Wingdings" w:hAnsi="Wingdings" w:hint="default"/>
      </w:rPr>
    </w:lvl>
  </w:abstractNum>
  <w:abstractNum w:abstractNumId="3" w15:restartNumberingAfterBreak="0">
    <w:nsid w:val="1FC73C41"/>
    <w:multiLevelType w:val="multilevel"/>
    <w:tmpl w:val="73806D26"/>
    <w:lvl w:ilvl="0">
      <w:start w:val="2"/>
      <w:numFmt w:val="decimal"/>
      <w:lvlText w:val="%1"/>
      <w:lvlJc w:val="left"/>
      <w:pPr>
        <w:tabs>
          <w:tab w:val="num" w:pos="405"/>
        </w:tabs>
        <w:ind w:left="405" w:hanging="405"/>
      </w:pPr>
      <w:rPr>
        <w:rFonts w:hint="default"/>
      </w:rPr>
    </w:lvl>
    <w:lvl w:ilvl="1">
      <w:start w:val="5"/>
      <w:numFmt w:val="decimal"/>
      <w:lvlText w:val="%1.%2"/>
      <w:lvlJc w:val="left"/>
      <w:pPr>
        <w:tabs>
          <w:tab w:val="num" w:pos="795"/>
        </w:tabs>
        <w:ind w:left="795" w:hanging="720"/>
      </w:pPr>
      <w:rPr>
        <w:rFonts w:hint="default"/>
      </w:rPr>
    </w:lvl>
    <w:lvl w:ilvl="2">
      <w:start w:val="1"/>
      <w:numFmt w:val="decimal"/>
      <w:lvlText w:val="%1.%2.%3"/>
      <w:lvlJc w:val="left"/>
      <w:pPr>
        <w:tabs>
          <w:tab w:val="num" w:pos="870"/>
        </w:tabs>
        <w:ind w:left="870" w:hanging="720"/>
      </w:pPr>
      <w:rPr>
        <w:rFonts w:hint="default"/>
      </w:rPr>
    </w:lvl>
    <w:lvl w:ilvl="3">
      <w:start w:val="1"/>
      <w:numFmt w:val="decimal"/>
      <w:lvlText w:val="%1.%2.%3.%4"/>
      <w:lvlJc w:val="left"/>
      <w:pPr>
        <w:tabs>
          <w:tab w:val="num" w:pos="1305"/>
        </w:tabs>
        <w:ind w:left="1305" w:hanging="1080"/>
      </w:pPr>
      <w:rPr>
        <w:rFonts w:hint="default"/>
      </w:rPr>
    </w:lvl>
    <w:lvl w:ilvl="4">
      <w:start w:val="1"/>
      <w:numFmt w:val="decimal"/>
      <w:lvlText w:val="%1.%2.%3.%4.%5"/>
      <w:lvlJc w:val="left"/>
      <w:pPr>
        <w:tabs>
          <w:tab w:val="num" w:pos="1380"/>
        </w:tabs>
        <w:ind w:left="1380" w:hanging="1080"/>
      </w:pPr>
      <w:rPr>
        <w:rFonts w:hint="default"/>
      </w:rPr>
    </w:lvl>
    <w:lvl w:ilvl="5">
      <w:start w:val="1"/>
      <w:numFmt w:val="decimal"/>
      <w:lvlText w:val="%1.%2.%3.%4.%5.%6"/>
      <w:lvlJc w:val="left"/>
      <w:pPr>
        <w:tabs>
          <w:tab w:val="num" w:pos="1815"/>
        </w:tabs>
        <w:ind w:left="1815" w:hanging="1440"/>
      </w:pPr>
      <w:rPr>
        <w:rFonts w:hint="default"/>
      </w:rPr>
    </w:lvl>
    <w:lvl w:ilvl="6">
      <w:start w:val="1"/>
      <w:numFmt w:val="decimal"/>
      <w:lvlText w:val="%1.%2.%3.%4.%5.%6.%7"/>
      <w:lvlJc w:val="left"/>
      <w:pPr>
        <w:tabs>
          <w:tab w:val="num" w:pos="2250"/>
        </w:tabs>
        <w:ind w:left="2250" w:hanging="1800"/>
      </w:pPr>
      <w:rPr>
        <w:rFonts w:hint="default"/>
      </w:rPr>
    </w:lvl>
    <w:lvl w:ilvl="7">
      <w:start w:val="1"/>
      <w:numFmt w:val="decimal"/>
      <w:lvlText w:val="%1.%2.%3.%4.%5.%6.%7.%8"/>
      <w:lvlJc w:val="left"/>
      <w:pPr>
        <w:tabs>
          <w:tab w:val="num" w:pos="2325"/>
        </w:tabs>
        <w:ind w:left="2325" w:hanging="1800"/>
      </w:pPr>
      <w:rPr>
        <w:rFonts w:hint="default"/>
      </w:rPr>
    </w:lvl>
    <w:lvl w:ilvl="8">
      <w:start w:val="1"/>
      <w:numFmt w:val="decimal"/>
      <w:lvlText w:val="%1.%2.%3.%4.%5.%6.%7.%8.%9"/>
      <w:lvlJc w:val="left"/>
      <w:pPr>
        <w:tabs>
          <w:tab w:val="num" w:pos="2760"/>
        </w:tabs>
        <w:ind w:left="2760" w:hanging="2160"/>
      </w:pPr>
      <w:rPr>
        <w:rFonts w:hint="default"/>
      </w:rPr>
    </w:lvl>
  </w:abstractNum>
  <w:abstractNum w:abstractNumId="4" w15:restartNumberingAfterBreak="0">
    <w:nsid w:val="21E87E05"/>
    <w:multiLevelType w:val="multilevel"/>
    <w:tmpl w:val="9E1E8864"/>
    <w:lvl w:ilvl="0">
      <w:start w:val="2"/>
      <w:numFmt w:val="decimal"/>
      <w:lvlText w:val="%1."/>
      <w:lvlJc w:val="left"/>
      <w:pPr>
        <w:tabs>
          <w:tab w:val="num" w:pos="360"/>
        </w:tabs>
        <w:ind w:left="360" w:hanging="360"/>
      </w:pPr>
      <w:rPr>
        <w:rFonts w:hint="default"/>
      </w:rPr>
    </w:lvl>
    <w:lvl w:ilvl="1">
      <w:start w:val="7"/>
      <w:numFmt w:val="decimal"/>
      <w:lvlText w:val="%1.%2."/>
      <w:lvlJc w:val="left"/>
      <w:pPr>
        <w:tabs>
          <w:tab w:val="num" w:pos="435"/>
        </w:tabs>
        <w:ind w:left="435" w:hanging="360"/>
      </w:pPr>
      <w:rPr>
        <w:rFonts w:hint="default"/>
      </w:rPr>
    </w:lvl>
    <w:lvl w:ilvl="2">
      <w:start w:val="1"/>
      <w:numFmt w:val="decimal"/>
      <w:lvlText w:val="%1.%2.%3."/>
      <w:lvlJc w:val="left"/>
      <w:pPr>
        <w:tabs>
          <w:tab w:val="num" w:pos="870"/>
        </w:tabs>
        <w:ind w:left="870" w:hanging="720"/>
      </w:pPr>
      <w:rPr>
        <w:rFonts w:hint="default"/>
      </w:rPr>
    </w:lvl>
    <w:lvl w:ilvl="3">
      <w:start w:val="1"/>
      <w:numFmt w:val="decimal"/>
      <w:lvlText w:val="%1.%2.%3.%4."/>
      <w:lvlJc w:val="left"/>
      <w:pPr>
        <w:tabs>
          <w:tab w:val="num" w:pos="945"/>
        </w:tabs>
        <w:ind w:left="945" w:hanging="720"/>
      </w:pPr>
      <w:rPr>
        <w:rFonts w:hint="default"/>
      </w:rPr>
    </w:lvl>
    <w:lvl w:ilvl="4">
      <w:start w:val="1"/>
      <w:numFmt w:val="decimal"/>
      <w:lvlText w:val="%1.%2.%3.%4.%5."/>
      <w:lvlJc w:val="left"/>
      <w:pPr>
        <w:tabs>
          <w:tab w:val="num" w:pos="1380"/>
        </w:tabs>
        <w:ind w:left="1380" w:hanging="1080"/>
      </w:pPr>
      <w:rPr>
        <w:rFonts w:hint="default"/>
      </w:rPr>
    </w:lvl>
    <w:lvl w:ilvl="5">
      <w:start w:val="1"/>
      <w:numFmt w:val="decimal"/>
      <w:lvlText w:val="%1.%2.%3.%4.%5.%6."/>
      <w:lvlJc w:val="left"/>
      <w:pPr>
        <w:tabs>
          <w:tab w:val="num" w:pos="1455"/>
        </w:tabs>
        <w:ind w:left="1455" w:hanging="1080"/>
      </w:pPr>
      <w:rPr>
        <w:rFonts w:hint="default"/>
      </w:rPr>
    </w:lvl>
    <w:lvl w:ilvl="6">
      <w:start w:val="1"/>
      <w:numFmt w:val="decimal"/>
      <w:lvlText w:val="%1.%2.%3.%4.%5.%6.%7."/>
      <w:lvlJc w:val="left"/>
      <w:pPr>
        <w:tabs>
          <w:tab w:val="num" w:pos="1890"/>
        </w:tabs>
        <w:ind w:left="1890" w:hanging="1440"/>
      </w:pPr>
      <w:rPr>
        <w:rFonts w:hint="default"/>
      </w:rPr>
    </w:lvl>
    <w:lvl w:ilvl="7">
      <w:start w:val="1"/>
      <w:numFmt w:val="decimal"/>
      <w:lvlText w:val="%1.%2.%3.%4.%5.%6.%7.%8."/>
      <w:lvlJc w:val="left"/>
      <w:pPr>
        <w:tabs>
          <w:tab w:val="num" w:pos="1965"/>
        </w:tabs>
        <w:ind w:left="1965" w:hanging="1440"/>
      </w:pPr>
      <w:rPr>
        <w:rFonts w:hint="default"/>
      </w:rPr>
    </w:lvl>
    <w:lvl w:ilvl="8">
      <w:start w:val="1"/>
      <w:numFmt w:val="decimal"/>
      <w:lvlText w:val="%1.%2.%3.%4.%5.%6.%7.%8.%9."/>
      <w:lvlJc w:val="left"/>
      <w:pPr>
        <w:tabs>
          <w:tab w:val="num" w:pos="2400"/>
        </w:tabs>
        <w:ind w:left="2400" w:hanging="1800"/>
      </w:pPr>
      <w:rPr>
        <w:rFonts w:hint="default"/>
      </w:rPr>
    </w:lvl>
  </w:abstractNum>
  <w:abstractNum w:abstractNumId="5" w15:restartNumberingAfterBreak="0">
    <w:nsid w:val="2B4372B2"/>
    <w:multiLevelType w:val="multilevel"/>
    <w:tmpl w:val="BF560070"/>
    <w:lvl w:ilvl="0">
      <w:start w:val="1"/>
      <w:numFmt w:val="decimal"/>
      <w:lvlText w:val="%1.)"/>
      <w:legacy w:legacy="1" w:legacySpace="120" w:legacyIndent="375"/>
      <w:lvlJc w:val="left"/>
      <w:pPr>
        <w:ind w:left="375" w:hanging="375"/>
      </w:pPr>
    </w:lvl>
    <w:lvl w:ilvl="1">
      <w:start w:val="1"/>
      <w:numFmt w:val="lowerLetter"/>
      <w:lvlText w:val="%2."/>
      <w:legacy w:legacy="1" w:legacySpace="120" w:legacyIndent="360"/>
      <w:lvlJc w:val="left"/>
      <w:pPr>
        <w:ind w:left="735" w:hanging="360"/>
      </w:pPr>
    </w:lvl>
    <w:lvl w:ilvl="2">
      <w:start w:val="1"/>
      <w:numFmt w:val="lowerRoman"/>
      <w:lvlText w:val="%3."/>
      <w:legacy w:legacy="1" w:legacySpace="120" w:legacyIndent="180"/>
      <w:lvlJc w:val="left"/>
      <w:pPr>
        <w:ind w:left="915" w:hanging="180"/>
      </w:pPr>
    </w:lvl>
    <w:lvl w:ilvl="3">
      <w:start w:val="1"/>
      <w:numFmt w:val="decimal"/>
      <w:lvlText w:val="%4."/>
      <w:legacy w:legacy="1" w:legacySpace="120" w:legacyIndent="360"/>
      <w:lvlJc w:val="left"/>
      <w:pPr>
        <w:ind w:left="1275" w:hanging="360"/>
      </w:pPr>
    </w:lvl>
    <w:lvl w:ilvl="4">
      <w:start w:val="1"/>
      <w:numFmt w:val="lowerLetter"/>
      <w:lvlText w:val="%5."/>
      <w:legacy w:legacy="1" w:legacySpace="120" w:legacyIndent="360"/>
      <w:lvlJc w:val="left"/>
      <w:pPr>
        <w:ind w:left="1635" w:hanging="360"/>
      </w:pPr>
    </w:lvl>
    <w:lvl w:ilvl="5">
      <w:start w:val="1"/>
      <w:numFmt w:val="lowerRoman"/>
      <w:lvlText w:val="%6."/>
      <w:legacy w:legacy="1" w:legacySpace="120" w:legacyIndent="180"/>
      <w:lvlJc w:val="left"/>
      <w:pPr>
        <w:ind w:left="1815" w:hanging="180"/>
      </w:pPr>
    </w:lvl>
    <w:lvl w:ilvl="6">
      <w:start w:val="1"/>
      <w:numFmt w:val="decimal"/>
      <w:lvlText w:val="%7."/>
      <w:legacy w:legacy="1" w:legacySpace="120" w:legacyIndent="360"/>
      <w:lvlJc w:val="left"/>
      <w:pPr>
        <w:ind w:left="2175" w:hanging="360"/>
      </w:pPr>
    </w:lvl>
    <w:lvl w:ilvl="7">
      <w:start w:val="1"/>
      <w:numFmt w:val="lowerLetter"/>
      <w:lvlText w:val="%8."/>
      <w:legacy w:legacy="1" w:legacySpace="120" w:legacyIndent="360"/>
      <w:lvlJc w:val="left"/>
      <w:pPr>
        <w:ind w:left="2535" w:hanging="360"/>
      </w:pPr>
    </w:lvl>
    <w:lvl w:ilvl="8">
      <w:start w:val="1"/>
      <w:numFmt w:val="lowerRoman"/>
      <w:lvlText w:val="%9."/>
      <w:legacy w:legacy="1" w:legacySpace="120" w:legacyIndent="180"/>
      <w:lvlJc w:val="left"/>
      <w:pPr>
        <w:ind w:left="2715" w:hanging="180"/>
      </w:pPr>
    </w:lvl>
  </w:abstractNum>
  <w:abstractNum w:abstractNumId="6" w15:restartNumberingAfterBreak="0">
    <w:nsid w:val="2C207CC3"/>
    <w:multiLevelType w:val="hybridMultilevel"/>
    <w:tmpl w:val="20DE674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396230AC"/>
    <w:multiLevelType w:val="hybridMultilevel"/>
    <w:tmpl w:val="0B0E9CC0"/>
    <w:lvl w:ilvl="0" w:tplc="DA5EF184">
      <w:start w:val="1"/>
      <w:numFmt w:val="decimal"/>
      <w:lvlText w:val="%1."/>
      <w:lvlJc w:val="left"/>
      <w:pPr>
        <w:tabs>
          <w:tab w:val="num" w:pos="720"/>
        </w:tabs>
        <w:ind w:left="720" w:hanging="360"/>
      </w:pPr>
      <w:rPr>
        <w:rFonts w:hint="default"/>
        <w:b/>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15:restartNumberingAfterBreak="0">
    <w:nsid w:val="3B002565"/>
    <w:multiLevelType w:val="multilevel"/>
    <w:tmpl w:val="3E9C43EE"/>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D74304C"/>
    <w:multiLevelType w:val="hybridMultilevel"/>
    <w:tmpl w:val="248A1B2C"/>
    <w:lvl w:ilvl="0" w:tplc="3FF62914">
      <w:start w:val="1"/>
      <w:numFmt w:val="bullet"/>
      <w:lvlText w:val=""/>
      <w:lvlJc w:val="left"/>
      <w:pPr>
        <w:tabs>
          <w:tab w:val="num" w:pos="720"/>
        </w:tabs>
        <w:ind w:left="720" w:hanging="72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51F60B5"/>
    <w:multiLevelType w:val="singleLevel"/>
    <w:tmpl w:val="041B000F"/>
    <w:lvl w:ilvl="0">
      <w:start w:val="1"/>
      <w:numFmt w:val="decimal"/>
      <w:lvlText w:val="%1."/>
      <w:lvlJc w:val="left"/>
      <w:pPr>
        <w:tabs>
          <w:tab w:val="num" w:pos="360"/>
        </w:tabs>
        <w:ind w:left="360" w:hanging="360"/>
      </w:pPr>
    </w:lvl>
  </w:abstractNum>
  <w:abstractNum w:abstractNumId="11" w15:restartNumberingAfterBreak="0">
    <w:nsid w:val="5C810BBD"/>
    <w:multiLevelType w:val="hybridMultilevel"/>
    <w:tmpl w:val="DEA4EAFC"/>
    <w:lvl w:ilvl="0" w:tplc="0405000F">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15:restartNumberingAfterBreak="0">
    <w:nsid w:val="5FB27FE3"/>
    <w:multiLevelType w:val="hybridMultilevel"/>
    <w:tmpl w:val="61D8F17E"/>
    <w:lvl w:ilvl="0" w:tplc="93500E00">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63F27CB4"/>
    <w:multiLevelType w:val="multilevel"/>
    <w:tmpl w:val="B0427FF8"/>
    <w:lvl w:ilvl="0">
      <w:start w:val="1"/>
      <w:numFmt w:val="decimal"/>
      <w:lvlText w:val="%1.)"/>
      <w:legacy w:legacy="1" w:legacySpace="120" w:legacyIndent="375"/>
      <w:lvlJc w:val="left"/>
      <w:pPr>
        <w:ind w:left="375" w:hanging="375"/>
      </w:pPr>
    </w:lvl>
    <w:lvl w:ilvl="1">
      <w:start w:val="1"/>
      <w:numFmt w:val="lowerLetter"/>
      <w:lvlText w:val="%2."/>
      <w:legacy w:legacy="1" w:legacySpace="120" w:legacyIndent="360"/>
      <w:lvlJc w:val="left"/>
      <w:pPr>
        <w:ind w:left="735" w:hanging="360"/>
      </w:pPr>
    </w:lvl>
    <w:lvl w:ilvl="2">
      <w:start w:val="1"/>
      <w:numFmt w:val="lowerRoman"/>
      <w:lvlText w:val="%3."/>
      <w:legacy w:legacy="1" w:legacySpace="120" w:legacyIndent="180"/>
      <w:lvlJc w:val="left"/>
      <w:pPr>
        <w:ind w:left="915" w:hanging="180"/>
      </w:pPr>
    </w:lvl>
    <w:lvl w:ilvl="3">
      <w:start w:val="1"/>
      <w:numFmt w:val="decimal"/>
      <w:lvlText w:val="%4."/>
      <w:legacy w:legacy="1" w:legacySpace="120" w:legacyIndent="360"/>
      <w:lvlJc w:val="left"/>
      <w:pPr>
        <w:ind w:left="1275" w:hanging="360"/>
      </w:pPr>
    </w:lvl>
    <w:lvl w:ilvl="4">
      <w:start w:val="1"/>
      <w:numFmt w:val="lowerLetter"/>
      <w:lvlText w:val="%5."/>
      <w:legacy w:legacy="1" w:legacySpace="120" w:legacyIndent="360"/>
      <w:lvlJc w:val="left"/>
      <w:pPr>
        <w:ind w:left="1635" w:hanging="360"/>
      </w:pPr>
    </w:lvl>
    <w:lvl w:ilvl="5">
      <w:start w:val="1"/>
      <w:numFmt w:val="lowerRoman"/>
      <w:lvlText w:val="%6."/>
      <w:legacy w:legacy="1" w:legacySpace="120" w:legacyIndent="180"/>
      <w:lvlJc w:val="left"/>
      <w:pPr>
        <w:ind w:left="1815" w:hanging="180"/>
      </w:pPr>
    </w:lvl>
    <w:lvl w:ilvl="6">
      <w:start w:val="1"/>
      <w:numFmt w:val="decimal"/>
      <w:lvlText w:val="%7."/>
      <w:legacy w:legacy="1" w:legacySpace="120" w:legacyIndent="360"/>
      <w:lvlJc w:val="left"/>
      <w:pPr>
        <w:ind w:left="2175" w:hanging="360"/>
      </w:pPr>
    </w:lvl>
    <w:lvl w:ilvl="7">
      <w:start w:val="1"/>
      <w:numFmt w:val="lowerLetter"/>
      <w:lvlText w:val="%8."/>
      <w:legacy w:legacy="1" w:legacySpace="120" w:legacyIndent="360"/>
      <w:lvlJc w:val="left"/>
      <w:pPr>
        <w:ind w:left="2535" w:hanging="360"/>
      </w:pPr>
    </w:lvl>
    <w:lvl w:ilvl="8">
      <w:start w:val="1"/>
      <w:numFmt w:val="lowerRoman"/>
      <w:lvlText w:val="%9."/>
      <w:legacy w:legacy="1" w:legacySpace="120" w:legacyIndent="180"/>
      <w:lvlJc w:val="left"/>
      <w:pPr>
        <w:ind w:left="2715" w:hanging="180"/>
      </w:pPr>
    </w:lvl>
  </w:abstractNum>
  <w:abstractNum w:abstractNumId="14" w15:restartNumberingAfterBreak="0">
    <w:nsid w:val="733A3E49"/>
    <w:multiLevelType w:val="hybridMultilevel"/>
    <w:tmpl w:val="CE8E9EB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735B41BC"/>
    <w:multiLevelType w:val="hybridMultilevel"/>
    <w:tmpl w:val="77E87774"/>
    <w:lvl w:ilvl="0" w:tplc="7FAED088">
      <w:start w:val="2"/>
      <w:numFmt w:val="bullet"/>
      <w:lvlText w:val="-"/>
      <w:lvlJc w:val="left"/>
      <w:pPr>
        <w:tabs>
          <w:tab w:val="num" w:pos="720"/>
        </w:tabs>
        <w:ind w:left="720" w:hanging="360"/>
      </w:pPr>
      <w:rPr>
        <w:rFonts w:ascii="Arial" w:eastAsia="Times New Roman" w:hAnsi="Arial" w:cs="Arial"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E15D3D"/>
    <w:multiLevelType w:val="hybridMultilevel"/>
    <w:tmpl w:val="29A05E2C"/>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7FB45FE5"/>
    <w:multiLevelType w:val="hybridMultilevel"/>
    <w:tmpl w:val="5BD45B64"/>
    <w:lvl w:ilvl="0" w:tplc="BE3228E6">
      <w:numFmt w:val="bullet"/>
      <w:lvlText w:val="-"/>
      <w:lvlJc w:val="left"/>
      <w:pPr>
        <w:ind w:left="720" w:hanging="360"/>
      </w:pPr>
      <w:rPr>
        <w:rFonts w:ascii="Calibri" w:eastAsiaTheme="minorHAnsi"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16cid:durableId="2048599654">
    <w:abstractNumId w:val="5"/>
  </w:num>
  <w:num w:numId="2" w16cid:durableId="1485583071">
    <w:abstractNumId w:val="5"/>
    <w:lvlOverride w:ilvl="0">
      <w:lvl w:ilvl="0">
        <w:start w:val="1"/>
        <w:numFmt w:val="decimal"/>
        <w:lvlText w:val="%1.)"/>
        <w:legacy w:legacy="1" w:legacySpace="120" w:legacyIndent="375"/>
        <w:lvlJc w:val="left"/>
        <w:pPr>
          <w:ind w:left="375" w:hanging="375"/>
        </w:pPr>
      </w:lvl>
    </w:lvlOverride>
    <w:lvlOverride w:ilvl="1">
      <w:lvl w:ilvl="1">
        <w:start w:val="1"/>
        <w:numFmt w:val="lowerLetter"/>
        <w:lvlText w:val="%2."/>
        <w:legacy w:legacy="1" w:legacySpace="120" w:legacyIndent="360"/>
        <w:lvlJc w:val="left"/>
        <w:pPr>
          <w:ind w:left="735" w:hanging="360"/>
        </w:pPr>
      </w:lvl>
    </w:lvlOverride>
    <w:lvlOverride w:ilvl="2">
      <w:lvl w:ilvl="2">
        <w:start w:val="1"/>
        <w:numFmt w:val="lowerRoman"/>
        <w:lvlText w:val="%3."/>
        <w:legacy w:legacy="1" w:legacySpace="120" w:legacyIndent="180"/>
        <w:lvlJc w:val="left"/>
        <w:pPr>
          <w:ind w:left="915" w:hanging="180"/>
        </w:pPr>
      </w:lvl>
    </w:lvlOverride>
    <w:lvlOverride w:ilvl="3">
      <w:lvl w:ilvl="3">
        <w:start w:val="1"/>
        <w:numFmt w:val="decimal"/>
        <w:lvlText w:val="%4."/>
        <w:legacy w:legacy="1" w:legacySpace="120" w:legacyIndent="360"/>
        <w:lvlJc w:val="left"/>
        <w:pPr>
          <w:ind w:left="1275" w:hanging="360"/>
        </w:pPr>
      </w:lvl>
    </w:lvlOverride>
    <w:lvlOverride w:ilvl="4">
      <w:lvl w:ilvl="4">
        <w:start w:val="1"/>
        <w:numFmt w:val="lowerLetter"/>
        <w:lvlText w:val="%5."/>
        <w:legacy w:legacy="1" w:legacySpace="120" w:legacyIndent="360"/>
        <w:lvlJc w:val="left"/>
        <w:pPr>
          <w:ind w:left="1635" w:hanging="360"/>
        </w:pPr>
      </w:lvl>
    </w:lvlOverride>
    <w:lvlOverride w:ilvl="5">
      <w:lvl w:ilvl="5">
        <w:start w:val="1"/>
        <w:numFmt w:val="lowerRoman"/>
        <w:lvlText w:val="%6."/>
        <w:legacy w:legacy="1" w:legacySpace="120" w:legacyIndent="180"/>
        <w:lvlJc w:val="left"/>
        <w:pPr>
          <w:ind w:left="1815" w:hanging="180"/>
        </w:pPr>
      </w:lvl>
    </w:lvlOverride>
    <w:lvlOverride w:ilvl="6">
      <w:lvl w:ilvl="6">
        <w:start w:val="1"/>
        <w:numFmt w:val="decimal"/>
        <w:lvlText w:val="%7."/>
        <w:legacy w:legacy="1" w:legacySpace="120" w:legacyIndent="360"/>
        <w:lvlJc w:val="left"/>
        <w:pPr>
          <w:ind w:left="2175" w:hanging="360"/>
        </w:pPr>
      </w:lvl>
    </w:lvlOverride>
    <w:lvlOverride w:ilvl="7">
      <w:lvl w:ilvl="7">
        <w:start w:val="1"/>
        <w:numFmt w:val="lowerLetter"/>
        <w:lvlText w:val="%8."/>
        <w:legacy w:legacy="1" w:legacySpace="120" w:legacyIndent="360"/>
        <w:lvlJc w:val="left"/>
        <w:pPr>
          <w:ind w:left="2535" w:hanging="360"/>
        </w:pPr>
      </w:lvl>
    </w:lvlOverride>
    <w:lvlOverride w:ilvl="8">
      <w:lvl w:ilvl="8">
        <w:start w:val="1"/>
        <w:numFmt w:val="lowerRoman"/>
        <w:lvlText w:val="%9."/>
        <w:legacy w:legacy="1" w:legacySpace="120" w:legacyIndent="180"/>
        <w:lvlJc w:val="left"/>
        <w:pPr>
          <w:ind w:left="2715" w:hanging="180"/>
        </w:pPr>
      </w:lvl>
    </w:lvlOverride>
  </w:num>
  <w:num w:numId="3" w16cid:durableId="1381662148">
    <w:abstractNumId w:val="5"/>
    <w:lvlOverride w:ilvl="0">
      <w:lvl w:ilvl="0">
        <w:start w:val="1"/>
        <w:numFmt w:val="decimal"/>
        <w:lvlText w:val="%1.)"/>
        <w:legacy w:legacy="1" w:legacySpace="120" w:legacyIndent="375"/>
        <w:lvlJc w:val="left"/>
        <w:pPr>
          <w:ind w:left="375" w:hanging="375"/>
        </w:pPr>
      </w:lvl>
    </w:lvlOverride>
    <w:lvlOverride w:ilvl="1">
      <w:lvl w:ilvl="1">
        <w:start w:val="1"/>
        <w:numFmt w:val="lowerLetter"/>
        <w:lvlText w:val="%2."/>
        <w:legacy w:legacy="1" w:legacySpace="120" w:legacyIndent="360"/>
        <w:lvlJc w:val="left"/>
        <w:pPr>
          <w:ind w:left="735" w:hanging="360"/>
        </w:pPr>
      </w:lvl>
    </w:lvlOverride>
    <w:lvlOverride w:ilvl="2">
      <w:lvl w:ilvl="2">
        <w:start w:val="1"/>
        <w:numFmt w:val="lowerRoman"/>
        <w:lvlText w:val="%3."/>
        <w:legacy w:legacy="1" w:legacySpace="120" w:legacyIndent="180"/>
        <w:lvlJc w:val="left"/>
        <w:pPr>
          <w:ind w:left="915" w:hanging="180"/>
        </w:pPr>
      </w:lvl>
    </w:lvlOverride>
    <w:lvlOverride w:ilvl="3">
      <w:lvl w:ilvl="3">
        <w:start w:val="1"/>
        <w:numFmt w:val="decimal"/>
        <w:lvlText w:val="%4."/>
        <w:legacy w:legacy="1" w:legacySpace="120" w:legacyIndent="360"/>
        <w:lvlJc w:val="left"/>
        <w:pPr>
          <w:ind w:left="1275" w:hanging="360"/>
        </w:pPr>
      </w:lvl>
    </w:lvlOverride>
    <w:lvlOverride w:ilvl="4">
      <w:lvl w:ilvl="4">
        <w:start w:val="1"/>
        <w:numFmt w:val="lowerLetter"/>
        <w:lvlText w:val="%5."/>
        <w:legacy w:legacy="1" w:legacySpace="120" w:legacyIndent="360"/>
        <w:lvlJc w:val="left"/>
        <w:pPr>
          <w:ind w:left="1635" w:hanging="360"/>
        </w:pPr>
      </w:lvl>
    </w:lvlOverride>
    <w:lvlOverride w:ilvl="5">
      <w:lvl w:ilvl="5">
        <w:start w:val="1"/>
        <w:numFmt w:val="lowerRoman"/>
        <w:lvlText w:val="%6."/>
        <w:legacy w:legacy="1" w:legacySpace="120" w:legacyIndent="180"/>
        <w:lvlJc w:val="left"/>
        <w:pPr>
          <w:ind w:left="1815" w:hanging="180"/>
        </w:pPr>
      </w:lvl>
    </w:lvlOverride>
    <w:lvlOverride w:ilvl="6">
      <w:lvl w:ilvl="6">
        <w:start w:val="1"/>
        <w:numFmt w:val="decimal"/>
        <w:lvlText w:val="%7."/>
        <w:legacy w:legacy="1" w:legacySpace="120" w:legacyIndent="360"/>
        <w:lvlJc w:val="left"/>
        <w:pPr>
          <w:ind w:left="2175" w:hanging="360"/>
        </w:pPr>
      </w:lvl>
    </w:lvlOverride>
    <w:lvlOverride w:ilvl="7">
      <w:lvl w:ilvl="7">
        <w:start w:val="1"/>
        <w:numFmt w:val="lowerLetter"/>
        <w:lvlText w:val="%8."/>
        <w:legacy w:legacy="1" w:legacySpace="120" w:legacyIndent="360"/>
        <w:lvlJc w:val="left"/>
        <w:pPr>
          <w:ind w:left="2535" w:hanging="360"/>
        </w:pPr>
      </w:lvl>
    </w:lvlOverride>
    <w:lvlOverride w:ilvl="8">
      <w:lvl w:ilvl="8">
        <w:start w:val="1"/>
        <w:numFmt w:val="lowerRoman"/>
        <w:lvlText w:val="%9."/>
        <w:legacy w:legacy="1" w:legacySpace="120" w:legacyIndent="180"/>
        <w:lvlJc w:val="left"/>
        <w:pPr>
          <w:ind w:left="2715" w:hanging="180"/>
        </w:pPr>
      </w:lvl>
    </w:lvlOverride>
  </w:num>
  <w:num w:numId="4" w16cid:durableId="1329477955">
    <w:abstractNumId w:val="5"/>
    <w:lvlOverride w:ilvl="0">
      <w:lvl w:ilvl="0">
        <w:start w:val="1"/>
        <w:numFmt w:val="decimal"/>
        <w:lvlText w:val="%1.)"/>
        <w:legacy w:legacy="1" w:legacySpace="120" w:legacyIndent="375"/>
        <w:lvlJc w:val="left"/>
        <w:pPr>
          <w:ind w:left="375" w:hanging="375"/>
        </w:pPr>
      </w:lvl>
    </w:lvlOverride>
    <w:lvlOverride w:ilvl="1">
      <w:lvl w:ilvl="1">
        <w:start w:val="1"/>
        <w:numFmt w:val="lowerLetter"/>
        <w:lvlText w:val="%2."/>
        <w:legacy w:legacy="1" w:legacySpace="120" w:legacyIndent="360"/>
        <w:lvlJc w:val="left"/>
        <w:pPr>
          <w:ind w:left="735" w:hanging="360"/>
        </w:pPr>
      </w:lvl>
    </w:lvlOverride>
    <w:lvlOverride w:ilvl="2">
      <w:lvl w:ilvl="2">
        <w:start w:val="1"/>
        <w:numFmt w:val="lowerRoman"/>
        <w:lvlText w:val="%3."/>
        <w:legacy w:legacy="1" w:legacySpace="120" w:legacyIndent="180"/>
        <w:lvlJc w:val="left"/>
        <w:pPr>
          <w:ind w:left="915" w:hanging="180"/>
        </w:pPr>
      </w:lvl>
    </w:lvlOverride>
    <w:lvlOverride w:ilvl="3">
      <w:lvl w:ilvl="3">
        <w:start w:val="1"/>
        <w:numFmt w:val="decimal"/>
        <w:lvlText w:val="%4."/>
        <w:legacy w:legacy="1" w:legacySpace="120" w:legacyIndent="360"/>
        <w:lvlJc w:val="left"/>
        <w:pPr>
          <w:ind w:left="1275" w:hanging="360"/>
        </w:pPr>
      </w:lvl>
    </w:lvlOverride>
    <w:lvlOverride w:ilvl="4">
      <w:lvl w:ilvl="4">
        <w:start w:val="1"/>
        <w:numFmt w:val="lowerLetter"/>
        <w:lvlText w:val="%5."/>
        <w:legacy w:legacy="1" w:legacySpace="120" w:legacyIndent="360"/>
        <w:lvlJc w:val="left"/>
        <w:pPr>
          <w:ind w:left="1635" w:hanging="360"/>
        </w:pPr>
      </w:lvl>
    </w:lvlOverride>
    <w:lvlOverride w:ilvl="5">
      <w:lvl w:ilvl="5">
        <w:start w:val="1"/>
        <w:numFmt w:val="lowerRoman"/>
        <w:lvlText w:val="%6."/>
        <w:legacy w:legacy="1" w:legacySpace="120" w:legacyIndent="180"/>
        <w:lvlJc w:val="left"/>
        <w:pPr>
          <w:ind w:left="1815" w:hanging="180"/>
        </w:pPr>
      </w:lvl>
    </w:lvlOverride>
    <w:lvlOverride w:ilvl="6">
      <w:lvl w:ilvl="6">
        <w:start w:val="1"/>
        <w:numFmt w:val="decimal"/>
        <w:lvlText w:val="%7."/>
        <w:legacy w:legacy="1" w:legacySpace="120" w:legacyIndent="360"/>
        <w:lvlJc w:val="left"/>
        <w:pPr>
          <w:ind w:left="2175" w:hanging="360"/>
        </w:pPr>
      </w:lvl>
    </w:lvlOverride>
    <w:lvlOverride w:ilvl="7">
      <w:lvl w:ilvl="7">
        <w:start w:val="1"/>
        <w:numFmt w:val="lowerLetter"/>
        <w:lvlText w:val="%8."/>
        <w:legacy w:legacy="1" w:legacySpace="120" w:legacyIndent="360"/>
        <w:lvlJc w:val="left"/>
        <w:pPr>
          <w:ind w:left="2535" w:hanging="360"/>
        </w:pPr>
      </w:lvl>
    </w:lvlOverride>
    <w:lvlOverride w:ilvl="8">
      <w:lvl w:ilvl="8">
        <w:start w:val="1"/>
        <w:numFmt w:val="lowerRoman"/>
        <w:lvlText w:val="%9."/>
        <w:legacy w:legacy="1" w:legacySpace="120" w:legacyIndent="180"/>
        <w:lvlJc w:val="left"/>
        <w:pPr>
          <w:ind w:left="2715" w:hanging="180"/>
        </w:pPr>
      </w:lvl>
    </w:lvlOverride>
  </w:num>
  <w:num w:numId="5" w16cid:durableId="1293098213">
    <w:abstractNumId w:val="13"/>
  </w:num>
  <w:num w:numId="6" w16cid:durableId="1883441023">
    <w:abstractNumId w:val="13"/>
    <w:lvlOverride w:ilvl="0">
      <w:lvl w:ilvl="0">
        <w:start w:val="1"/>
        <w:numFmt w:val="decimal"/>
        <w:lvlText w:val="%1.)"/>
        <w:legacy w:legacy="1" w:legacySpace="120" w:legacyIndent="375"/>
        <w:lvlJc w:val="left"/>
        <w:pPr>
          <w:ind w:left="375" w:hanging="375"/>
        </w:pPr>
      </w:lvl>
    </w:lvlOverride>
    <w:lvlOverride w:ilvl="1">
      <w:lvl w:ilvl="1">
        <w:start w:val="1"/>
        <w:numFmt w:val="lowerLetter"/>
        <w:lvlText w:val="%2."/>
        <w:legacy w:legacy="1" w:legacySpace="120" w:legacyIndent="360"/>
        <w:lvlJc w:val="left"/>
        <w:pPr>
          <w:ind w:left="735" w:hanging="360"/>
        </w:pPr>
      </w:lvl>
    </w:lvlOverride>
    <w:lvlOverride w:ilvl="2">
      <w:lvl w:ilvl="2">
        <w:start w:val="1"/>
        <w:numFmt w:val="lowerRoman"/>
        <w:lvlText w:val="%3."/>
        <w:legacy w:legacy="1" w:legacySpace="120" w:legacyIndent="180"/>
        <w:lvlJc w:val="left"/>
        <w:pPr>
          <w:ind w:left="915" w:hanging="180"/>
        </w:pPr>
      </w:lvl>
    </w:lvlOverride>
    <w:lvlOverride w:ilvl="3">
      <w:lvl w:ilvl="3">
        <w:start w:val="1"/>
        <w:numFmt w:val="decimal"/>
        <w:lvlText w:val="%4."/>
        <w:legacy w:legacy="1" w:legacySpace="120" w:legacyIndent="360"/>
        <w:lvlJc w:val="left"/>
        <w:pPr>
          <w:ind w:left="1275" w:hanging="360"/>
        </w:pPr>
      </w:lvl>
    </w:lvlOverride>
    <w:lvlOverride w:ilvl="4">
      <w:lvl w:ilvl="4">
        <w:start w:val="1"/>
        <w:numFmt w:val="lowerLetter"/>
        <w:lvlText w:val="%5."/>
        <w:legacy w:legacy="1" w:legacySpace="120" w:legacyIndent="360"/>
        <w:lvlJc w:val="left"/>
        <w:pPr>
          <w:ind w:left="1635" w:hanging="360"/>
        </w:pPr>
      </w:lvl>
    </w:lvlOverride>
    <w:lvlOverride w:ilvl="5">
      <w:lvl w:ilvl="5">
        <w:start w:val="1"/>
        <w:numFmt w:val="lowerRoman"/>
        <w:lvlText w:val="%6."/>
        <w:legacy w:legacy="1" w:legacySpace="120" w:legacyIndent="180"/>
        <w:lvlJc w:val="left"/>
        <w:pPr>
          <w:ind w:left="1815" w:hanging="180"/>
        </w:pPr>
      </w:lvl>
    </w:lvlOverride>
    <w:lvlOverride w:ilvl="6">
      <w:lvl w:ilvl="6">
        <w:start w:val="1"/>
        <w:numFmt w:val="decimal"/>
        <w:lvlText w:val="%7."/>
        <w:legacy w:legacy="1" w:legacySpace="120" w:legacyIndent="360"/>
        <w:lvlJc w:val="left"/>
        <w:pPr>
          <w:ind w:left="2175" w:hanging="360"/>
        </w:pPr>
      </w:lvl>
    </w:lvlOverride>
    <w:lvlOverride w:ilvl="7">
      <w:lvl w:ilvl="7">
        <w:start w:val="1"/>
        <w:numFmt w:val="lowerLetter"/>
        <w:lvlText w:val="%8."/>
        <w:legacy w:legacy="1" w:legacySpace="120" w:legacyIndent="360"/>
        <w:lvlJc w:val="left"/>
        <w:pPr>
          <w:ind w:left="2535" w:hanging="360"/>
        </w:pPr>
      </w:lvl>
    </w:lvlOverride>
    <w:lvlOverride w:ilvl="8">
      <w:lvl w:ilvl="8">
        <w:start w:val="1"/>
        <w:numFmt w:val="lowerRoman"/>
        <w:lvlText w:val="%9."/>
        <w:legacy w:legacy="1" w:legacySpace="120" w:legacyIndent="180"/>
        <w:lvlJc w:val="left"/>
        <w:pPr>
          <w:ind w:left="2715" w:hanging="180"/>
        </w:pPr>
      </w:lvl>
    </w:lvlOverride>
  </w:num>
  <w:num w:numId="7" w16cid:durableId="1537110810">
    <w:abstractNumId w:val="7"/>
  </w:num>
  <w:num w:numId="8" w16cid:durableId="1328510465">
    <w:abstractNumId w:val="11"/>
  </w:num>
  <w:num w:numId="9" w16cid:durableId="2067485648">
    <w:abstractNumId w:val="4"/>
  </w:num>
  <w:num w:numId="10" w16cid:durableId="1798522760">
    <w:abstractNumId w:val="15"/>
  </w:num>
  <w:num w:numId="11" w16cid:durableId="2035301225">
    <w:abstractNumId w:val="3"/>
  </w:num>
  <w:num w:numId="12" w16cid:durableId="2113276289">
    <w:abstractNumId w:val="1"/>
  </w:num>
  <w:num w:numId="13" w16cid:durableId="2018575547">
    <w:abstractNumId w:val="0"/>
  </w:num>
  <w:num w:numId="14" w16cid:durableId="1956517552">
    <w:abstractNumId w:val="8"/>
  </w:num>
  <w:num w:numId="15" w16cid:durableId="1149403115">
    <w:abstractNumId w:val="2"/>
  </w:num>
  <w:num w:numId="16" w16cid:durableId="1769227164">
    <w:abstractNumId w:val="9"/>
  </w:num>
  <w:num w:numId="17" w16cid:durableId="917253672">
    <w:abstractNumId w:val="12"/>
  </w:num>
  <w:num w:numId="18" w16cid:durableId="792944137">
    <w:abstractNumId w:val="14"/>
  </w:num>
  <w:num w:numId="19" w16cid:durableId="1787654687">
    <w:abstractNumId w:val="16"/>
  </w:num>
  <w:num w:numId="20" w16cid:durableId="1631477827">
    <w:abstractNumId w:val="6"/>
  </w:num>
  <w:num w:numId="21" w16cid:durableId="1927569741">
    <w:abstractNumId w:val="10"/>
  </w:num>
  <w:num w:numId="22" w16cid:durableId="173311216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44034"/>
    <o:shapelayout v:ext="edit">
      <o:idmap v:ext="edit" data="43"/>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01083"/>
    <w:rsid w:val="00000DEA"/>
    <w:rsid w:val="00007DA2"/>
    <w:rsid w:val="000150D2"/>
    <w:rsid w:val="00017278"/>
    <w:rsid w:val="00020C46"/>
    <w:rsid w:val="000210AA"/>
    <w:rsid w:val="000234F4"/>
    <w:rsid w:val="00034DBC"/>
    <w:rsid w:val="00036BB7"/>
    <w:rsid w:val="0004284E"/>
    <w:rsid w:val="00056C3D"/>
    <w:rsid w:val="000725BD"/>
    <w:rsid w:val="00072C9D"/>
    <w:rsid w:val="00072F41"/>
    <w:rsid w:val="00083640"/>
    <w:rsid w:val="0008483C"/>
    <w:rsid w:val="00093744"/>
    <w:rsid w:val="000A17B6"/>
    <w:rsid w:val="000A346A"/>
    <w:rsid w:val="000A4423"/>
    <w:rsid w:val="000A4A82"/>
    <w:rsid w:val="000A6E98"/>
    <w:rsid w:val="000A6EC0"/>
    <w:rsid w:val="000A77D9"/>
    <w:rsid w:val="000B4078"/>
    <w:rsid w:val="000F0BB2"/>
    <w:rsid w:val="000F2CA0"/>
    <w:rsid w:val="00100CA7"/>
    <w:rsid w:val="00113A2C"/>
    <w:rsid w:val="001148F7"/>
    <w:rsid w:val="001173A4"/>
    <w:rsid w:val="001207BE"/>
    <w:rsid w:val="00120ACC"/>
    <w:rsid w:val="00121859"/>
    <w:rsid w:val="001253A9"/>
    <w:rsid w:val="001273C0"/>
    <w:rsid w:val="00134A39"/>
    <w:rsid w:val="001407BE"/>
    <w:rsid w:val="001452A8"/>
    <w:rsid w:val="00147530"/>
    <w:rsid w:val="0015094C"/>
    <w:rsid w:val="00157C20"/>
    <w:rsid w:val="001622D7"/>
    <w:rsid w:val="00163FF9"/>
    <w:rsid w:val="00170AEC"/>
    <w:rsid w:val="00172928"/>
    <w:rsid w:val="001A049D"/>
    <w:rsid w:val="001A2C10"/>
    <w:rsid w:val="001B4692"/>
    <w:rsid w:val="001B6A58"/>
    <w:rsid w:val="001C069F"/>
    <w:rsid w:val="001C09BC"/>
    <w:rsid w:val="001C796A"/>
    <w:rsid w:val="001D2057"/>
    <w:rsid w:val="001D4613"/>
    <w:rsid w:val="001D6D9C"/>
    <w:rsid w:val="001E366B"/>
    <w:rsid w:val="001E5554"/>
    <w:rsid w:val="001E604E"/>
    <w:rsid w:val="001E6B5D"/>
    <w:rsid w:val="001F322E"/>
    <w:rsid w:val="001F3E91"/>
    <w:rsid w:val="00206266"/>
    <w:rsid w:val="002121CE"/>
    <w:rsid w:val="00215CB1"/>
    <w:rsid w:val="002217E3"/>
    <w:rsid w:val="002243A6"/>
    <w:rsid w:val="00225EED"/>
    <w:rsid w:val="002448A9"/>
    <w:rsid w:val="0024567F"/>
    <w:rsid w:val="002507C7"/>
    <w:rsid w:val="00251594"/>
    <w:rsid w:val="002515D9"/>
    <w:rsid w:val="0025603C"/>
    <w:rsid w:val="00257CFB"/>
    <w:rsid w:val="00263D98"/>
    <w:rsid w:val="0027662F"/>
    <w:rsid w:val="00282A12"/>
    <w:rsid w:val="00294E0E"/>
    <w:rsid w:val="002953D7"/>
    <w:rsid w:val="002A3904"/>
    <w:rsid w:val="002A42C6"/>
    <w:rsid w:val="002A50A5"/>
    <w:rsid w:val="002A62AC"/>
    <w:rsid w:val="002B002E"/>
    <w:rsid w:val="002B6945"/>
    <w:rsid w:val="002C15A2"/>
    <w:rsid w:val="002C29DA"/>
    <w:rsid w:val="002C30DE"/>
    <w:rsid w:val="002C3DAA"/>
    <w:rsid w:val="002C4500"/>
    <w:rsid w:val="002D3079"/>
    <w:rsid w:val="002E0AB1"/>
    <w:rsid w:val="002E1F24"/>
    <w:rsid w:val="002E713B"/>
    <w:rsid w:val="002F06D6"/>
    <w:rsid w:val="002F20ED"/>
    <w:rsid w:val="002F7A72"/>
    <w:rsid w:val="00300CFE"/>
    <w:rsid w:val="003040D9"/>
    <w:rsid w:val="0030633E"/>
    <w:rsid w:val="003148CB"/>
    <w:rsid w:val="003150EA"/>
    <w:rsid w:val="00322F73"/>
    <w:rsid w:val="0032304C"/>
    <w:rsid w:val="0032436F"/>
    <w:rsid w:val="00332593"/>
    <w:rsid w:val="00334522"/>
    <w:rsid w:val="003372C3"/>
    <w:rsid w:val="003374E9"/>
    <w:rsid w:val="003431E3"/>
    <w:rsid w:val="003468A1"/>
    <w:rsid w:val="00347D23"/>
    <w:rsid w:val="0036000D"/>
    <w:rsid w:val="003608FF"/>
    <w:rsid w:val="003634D9"/>
    <w:rsid w:val="00366002"/>
    <w:rsid w:val="003671C1"/>
    <w:rsid w:val="00372245"/>
    <w:rsid w:val="00374BEE"/>
    <w:rsid w:val="003769A4"/>
    <w:rsid w:val="00376DB1"/>
    <w:rsid w:val="00377773"/>
    <w:rsid w:val="00384C70"/>
    <w:rsid w:val="003933F3"/>
    <w:rsid w:val="003A5872"/>
    <w:rsid w:val="003B45CF"/>
    <w:rsid w:val="003B520D"/>
    <w:rsid w:val="003B64FB"/>
    <w:rsid w:val="003C0146"/>
    <w:rsid w:val="003C4051"/>
    <w:rsid w:val="003D28F8"/>
    <w:rsid w:val="003D3A96"/>
    <w:rsid w:val="003D400E"/>
    <w:rsid w:val="003D4A69"/>
    <w:rsid w:val="003D4D89"/>
    <w:rsid w:val="003D7CF9"/>
    <w:rsid w:val="003E10FB"/>
    <w:rsid w:val="003E13FF"/>
    <w:rsid w:val="003F1DE0"/>
    <w:rsid w:val="00404492"/>
    <w:rsid w:val="00406B0F"/>
    <w:rsid w:val="00413FC7"/>
    <w:rsid w:val="00416EAA"/>
    <w:rsid w:val="004241FC"/>
    <w:rsid w:val="0042428A"/>
    <w:rsid w:val="00427D7C"/>
    <w:rsid w:val="004342AF"/>
    <w:rsid w:val="004401E8"/>
    <w:rsid w:val="00445E8B"/>
    <w:rsid w:val="00446B08"/>
    <w:rsid w:val="004501B7"/>
    <w:rsid w:val="00450FA3"/>
    <w:rsid w:val="00452CFB"/>
    <w:rsid w:val="00460ED6"/>
    <w:rsid w:val="004658C8"/>
    <w:rsid w:val="004671F7"/>
    <w:rsid w:val="00473258"/>
    <w:rsid w:val="00477156"/>
    <w:rsid w:val="0047733B"/>
    <w:rsid w:val="00481701"/>
    <w:rsid w:val="00481B89"/>
    <w:rsid w:val="00481F17"/>
    <w:rsid w:val="0048265A"/>
    <w:rsid w:val="00484EE6"/>
    <w:rsid w:val="00486C8E"/>
    <w:rsid w:val="00486EF6"/>
    <w:rsid w:val="00491B1C"/>
    <w:rsid w:val="004A2616"/>
    <w:rsid w:val="004A272F"/>
    <w:rsid w:val="004A70BC"/>
    <w:rsid w:val="004B3A9D"/>
    <w:rsid w:val="004B7819"/>
    <w:rsid w:val="004C358A"/>
    <w:rsid w:val="004D04C0"/>
    <w:rsid w:val="004D2894"/>
    <w:rsid w:val="004D2F86"/>
    <w:rsid w:val="004E0C18"/>
    <w:rsid w:val="004E59AE"/>
    <w:rsid w:val="00506446"/>
    <w:rsid w:val="00511A32"/>
    <w:rsid w:val="0051292E"/>
    <w:rsid w:val="005216BA"/>
    <w:rsid w:val="00521D27"/>
    <w:rsid w:val="00522EF3"/>
    <w:rsid w:val="00543BCD"/>
    <w:rsid w:val="00543C62"/>
    <w:rsid w:val="00545607"/>
    <w:rsid w:val="00553CD2"/>
    <w:rsid w:val="0055554C"/>
    <w:rsid w:val="005614F0"/>
    <w:rsid w:val="00563B56"/>
    <w:rsid w:val="005721AF"/>
    <w:rsid w:val="00575745"/>
    <w:rsid w:val="00586923"/>
    <w:rsid w:val="00592170"/>
    <w:rsid w:val="005A21AE"/>
    <w:rsid w:val="005A53EF"/>
    <w:rsid w:val="005A7C63"/>
    <w:rsid w:val="005B0616"/>
    <w:rsid w:val="005B0833"/>
    <w:rsid w:val="005B14CC"/>
    <w:rsid w:val="005B1F41"/>
    <w:rsid w:val="005B5317"/>
    <w:rsid w:val="005B5C87"/>
    <w:rsid w:val="005C0E0B"/>
    <w:rsid w:val="005D277D"/>
    <w:rsid w:val="005D3C43"/>
    <w:rsid w:val="005E1102"/>
    <w:rsid w:val="005E5AAC"/>
    <w:rsid w:val="005F64D0"/>
    <w:rsid w:val="00601318"/>
    <w:rsid w:val="00602076"/>
    <w:rsid w:val="0060394C"/>
    <w:rsid w:val="00607387"/>
    <w:rsid w:val="00611958"/>
    <w:rsid w:val="006166A0"/>
    <w:rsid w:val="006176B6"/>
    <w:rsid w:val="00617984"/>
    <w:rsid w:val="00617E7C"/>
    <w:rsid w:val="006374CC"/>
    <w:rsid w:val="00641D7C"/>
    <w:rsid w:val="00645A7B"/>
    <w:rsid w:val="00661361"/>
    <w:rsid w:val="0066751F"/>
    <w:rsid w:val="00674C4B"/>
    <w:rsid w:val="006758BE"/>
    <w:rsid w:val="0067731D"/>
    <w:rsid w:val="00677745"/>
    <w:rsid w:val="006837B7"/>
    <w:rsid w:val="00684494"/>
    <w:rsid w:val="006A5AF5"/>
    <w:rsid w:val="006A675D"/>
    <w:rsid w:val="006B0EAC"/>
    <w:rsid w:val="006D3514"/>
    <w:rsid w:val="006D4721"/>
    <w:rsid w:val="006E06F1"/>
    <w:rsid w:val="006E2B63"/>
    <w:rsid w:val="006E4A51"/>
    <w:rsid w:val="006F3885"/>
    <w:rsid w:val="006F77AE"/>
    <w:rsid w:val="006F79CE"/>
    <w:rsid w:val="006F7EC2"/>
    <w:rsid w:val="00701083"/>
    <w:rsid w:val="00702108"/>
    <w:rsid w:val="00715019"/>
    <w:rsid w:val="00715531"/>
    <w:rsid w:val="00723449"/>
    <w:rsid w:val="00735CC0"/>
    <w:rsid w:val="00737793"/>
    <w:rsid w:val="007405D4"/>
    <w:rsid w:val="007502D0"/>
    <w:rsid w:val="00760A1C"/>
    <w:rsid w:val="00761D9C"/>
    <w:rsid w:val="007702FA"/>
    <w:rsid w:val="00771935"/>
    <w:rsid w:val="00782EE0"/>
    <w:rsid w:val="00785D11"/>
    <w:rsid w:val="00787F40"/>
    <w:rsid w:val="0079164B"/>
    <w:rsid w:val="0079291A"/>
    <w:rsid w:val="007A2219"/>
    <w:rsid w:val="007A3DF4"/>
    <w:rsid w:val="007A4561"/>
    <w:rsid w:val="007B451A"/>
    <w:rsid w:val="007B56E5"/>
    <w:rsid w:val="007B72F9"/>
    <w:rsid w:val="007C060A"/>
    <w:rsid w:val="007D18EE"/>
    <w:rsid w:val="007D35C8"/>
    <w:rsid w:val="007D5FD9"/>
    <w:rsid w:val="007E2AD1"/>
    <w:rsid w:val="007E4687"/>
    <w:rsid w:val="007E7445"/>
    <w:rsid w:val="007F5903"/>
    <w:rsid w:val="00811467"/>
    <w:rsid w:val="00811505"/>
    <w:rsid w:val="008205FC"/>
    <w:rsid w:val="00831EEC"/>
    <w:rsid w:val="00840A84"/>
    <w:rsid w:val="00843F86"/>
    <w:rsid w:val="008668DB"/>
    <w:rsid w:val="00871E33"/>
    <w:rsid w:val="008725BA"/>
    <w:rsid w:val="00872E33"/>
    <w:rsid w:val="008851A9"/>
    <w:rsid w:val="008852C7"/>
    <w:rsid w:val="00886415"/>
    <w:rsid w:val="00890FCA"/>
    <w:rsid w:val="00891998"/>
    <w:rsid w:val="0089228D"/>
    <w:rsid w:val="008943E2"/>
    <w:rsid w:val="00894F08"/>
    <w:rsid w:val="008977F1"/>
    <w:rsid w:val="008A1020"/>
    <w:rsid w:val="008B3E0F"/>
    <w:rsid w:val="008B4CB8"/>
    <w:rsid w:val="008B5AF7"/>
    <w:rsid w:val="008C0BD8"/>
    <w:rsid w:val="008C27D9"/>
    <w:rsid w:val="008C4D7E"/>
    <w:rsid w:val="008C5A2B"/>
    <w:rsid w:val="008C6A78"/>
    <w:rsid w:val="008D0206"/>
    <w:rsid w:val="008E042E"/>
    <w:rsid w:val="008E09D4"/>
    <w:rsid w:val="008F721C"/>
    <w:rsid w:val="0090067C"/>
    <w:rsid w:val="00900A42"/>
    <w:rsid w:val="0090286E"/>
    <w:rsid w:val="00911D76"/>
    <w:rsid w:val="009223BC"/>
    <w:rsid w:val="00924E73"/>
    <w:rsid w:val="0093243B"/>
    <w:rsid w:val="0094253B"/>
    <w:rsid w:val="00943B31"/>
    <w:rsid w:val="00946C04"/>
    <w:rsid w:val="00950D46"/>
    <w:rsid w:val="00957850"/>
    <w:rsid w:val="00971AF9"/>
    <w:rsid w:val="00982E83"/>
    <w:rsid w:val="0099426B"/>
    <w:rsid w:val="00994790"/>
    <w:rsid w:val="00996165"/>
    <w:rsid w:val="00997669"/>
    <w:rsid w:val="009A3A81"/>
    <w:rsid w:val="009A3E0E"/>
    <w:rsid w:val="009C3837"/>
    <w:rsid w:val="009D7FE9"/>
    <w:rsid w:val="009E1E64"/>
    <w:rsid w:val="009E7784"/>
    <w:rsid w:val="009F03B2"/>
    <w:rsid w:val="00A006A9"/>
    <w:rsid w:val="00A02687"/>
    <w:rsid w:val="00A02CFF"/>
    <w:rsid w:val="00A07CA0"/>
    <w:rsid w:val="00A21346"/>
    <w:rsid w:val="00A275A2"/>
    <w:rsid w:val="00A631D6"/>
    <w:rsid w:val="00A72E10"/>
    <w:rsid w:val="00A74773"/>
    <w:rsid w:val="00A75415"/>
    <w:rsid w:val="00A763E8"/>
    <w:rsid w:val="00A76487"/>
    <w:rsid w:val="00A77DE5"/>
    <w:rsid w:val="00A83DDE"/>
    <w:rsid w:val="00A91E39"/>
    <w:rsid w:val="00AA2F19"/>
    <w:rsid w:val="00AB1BC6"/>
    <w:rsid w:val="00AB521A"/>
    <w:rsid w:val="00AB77C8"/>
    <w:rsid w:val="00AC3971"/>
    <w:rsid w:val="00AE45D8"/>
    <w:rsid w:val="00AF0910"/>
    <w:rsid w:val="00AF1B86"/>
    <w:rsid w:val="00AF56C8"/>
    <w:rsid w:val="00AF5762"/>
    <w:rsid w:val="00AF6ACC"/>
    <w:rsid w:val="00AF78EC"/>
    <w:rsid w:val="00B07201"/>
    <w:rsid w:val="00B234BF"/>
    <w:rsid w:val="00B26908"/>
    <w:rsid w:val="00B33196"/>
    <w:rsid w:val="00B373D0"/>
    <w:rsid w:val="00B374AB"/>
    <w:rsid w:val="00B42926"/>
    <w:rsid w:val="00B435A1"/>
    <w:rsid w:val="00B453C0"/>
    <w:rsid w:val="00B466A1"/>
    <w:rsid w:val="00B518CD"/>
    <w:rsid w:val="00B51B6F"/>
    <w:rsid w:val="00B56D33"/>
    <w:rsid w:val="00B65D20"/>
    <w:rsid w:val="00B75659"/>
    <w:rsid w:val="00B76132"/>
    <w:rsid w:val="00B7786E"/>
    <w:rsid w:val="00B81D25"/>
    <w:rsid w:val="00B974C3"/>
    <w:rsid w:val="00BA394E"/>
    <w:rsid w:val="00BA4427"/>
    <w:rsid w:val="00BB136C"/>
    <w:rsid w:val="00BB4B58"/>
    <w:rsid w:val="00BC0A31"/>
    <w:rsid w:val="00BC16B8"/>
    <w:rsid w:val="00BC7B90"/>
    <w:rsid w:val="00BD29B8"/>
    <w:rsid w:val="00BD4667"/>
    <w:rsid w:val="00BD6064"/>
    <w:rsid w:val="00BE1919"/>
    <w:rsid w:val="00BF01E6"/>
    <w:rsid w:val="00BF06D7"/>
    <w:rsid w:val="00BF0AC9"/>
    <w:rsid w:val="00BF24E8"/>
    <w:rsid w:val="00C0349E"/>
    <w:rsid w:val="00C049AD"/>
    <w:rsid w:val="00C06A9C"/>
    <w:rsid w:val="00C2793D"/>
    <w:rsid w:val="00C3096E"/>
    <w:rsid w:val="00C32116"/>
    <w:rsid w:val="00C35579"/>
    <w:rsid w:val="00C41F74"/>
    <w:rsid w:val="00C447A6"/>
    <w:rsid w:val="00C5135E"/>
    <w:rsid w:val="00C5198F"/>
    <w:rsid w:val="00C528C1"/>
    <w:rsid w:val="00C54523"/>
    <w:rsid w:val="00C56F31"/>
    <w:rsid w:val="00C5729C"/>
    <w:rsid w:val="00C60F95"/>
    <w:rsid w:val="00C71BF3"/>
    <w:rsid w:val="00C71E8D"/>
    <w:rsid w:val="00C754BD"/>
    <w:rsid w:val="00C82983"/>
    <w:rsid w:val="00C82BF5"/>
    <w:rsid w:val="00C83F0C"/>
    <w:rsid w:val="00C97357"/>
    <w:rsid w:val="00CA2987"/>
    <w:rsid w:val="00CA65C8"/>
    <w:rsid w:val="00CA7A87"/>
    <w:rsid w:val="00CB421C"/>
    <w:rsid w:val="00CC05BB"/>
    <w:rsid w:val="00CC1B05"/>
    <w:rsid w:val="00CC4A2B"/>
    <w:rsid w:val="00CD441D"/>
    <w:rsid w:val="00CD5807"/>
    <w:rsid w:val="00CD6F9B"/>
    <w:rsid w:val="00CF1994"/>
    <w:rsid w:val="00CF7737"/>
    <w:rsid w:val="00D027C2"/>
    <w:rsid w:val="00D06851"/>
    <w:rsid w:val="00D0765E"/>
    <w:rsid w:val="00D12131"/>
    <w:rsid w:val="00D13C2D"/>
    <w:rsid w:val="00D1552B"/>
    <w:rsid w:val="00D16B04"/>
    <w:rsid w:val="00D238CB"/>
    <w:rsid w:val="00D27E8B"/>
    <w:rsid w:val="00D32226"/>
    <w:rsid w:val="00D33EED"/>
    <w:rsid w:val="00D40F8B"/>
    <w:rsid w:val="00D4140D"/>
    <w:rsid w:val="00D52331"/>
    <w:rsid w:val="00D62F88"/>
    <w:rsid w:val="00D676A7"/>
    <w:rsid w:val="00D75820"/>
    <w:rsid w:val="00D82E9A"/>
    <w:rsid w:val="00D90F6D"/>
    <w:rsid w:val="00D937A6"/>
    <w:rsid w:val="00D97101"/>
    <w:rsid w:val="00DA034C"/>
    <w:rsid w:val="00DA2047"/>
    <w:rsid w:val="00DA3EED"/>
    <w:rsid w:val="00DB01D4"/>
    <w:rsid w:val="00DB483F"/>
    <w:rsid w:val="00DC0124"/>
    <w:rsid w:val="00DD36A1"/>
    <w:rsid w:val="00DE42F0"/>
    <w:rsid w:val="00DE4FA3"/>
    <w:rsid w:val="00DF0E72"/>
    <w:rsid w:val="00E07053"/>
    <w:rsid w:val="00E1499D"/>
    <w:rsid w:val="00E342B0"/>
    <w:rsid w:val="00E40A7C"/>
    <w:rsid w:val="00E42450"/>
    <w:rsid w:val="00E43153"/>
    <w:rsid w:val="00E55276"/>
    <w:rsid w:val="00E61F50"/>
    <w:rsid w:val="00E62EF5"/>
    <w:rsid w:val="00E63DF2"/>
    <w:rsid w:val="00E648F6"/>
    <w:rsid w:val="00E72FA8"/>
    <w:rsid w:val="00E74159"/>
    <w:rsid w:val="00E74244"/>
    <w:rsid w:val="00E8252F"/>
    <w:rsid w:val="00E92107"/>
    <w:rsid w:val="00E96469"/>
    <w:rsid w:val="00EA1693"/>
    <w:rsid w:val="00EA188B"/>
    <w:rsid w:val="00EA69E5"/>
    <w:rsid w:val="00EB3A49"/>
    <w:rsid w:val="00EC23CE"/>
    <w:rsid w:val="00ED085E"/>
    <w:rsid w:val="00ED31F6"/>
    <w:rsid w:val="00ED7B8C"/>
    <w:rsid w:val="00EE1288"/>
    <w:rsid w:val="00EE1B48"/>
    <w:rsid w:val="00EE2D80"/>
    <w:rsid w:val="00EE3CC5"/>
    <w:rsid w:val="00EE7BD9"/>
    <w:rsid w:val="00EF051D"/>
    <w:rsid w:val="00EF260B"/>
    <w:rsid w:val="00EF4456"/>
    <w:rsid w:val="00F00532"/>
    <w:rsid w:val="00F07876"/>
    <w:rsid w:val="00F12B65"/>
    <w:rsid w:val="00F269A3"/>
    <w:rsid w:val="00F315CB"/>
    <w:rsid w:val="00F35BC0"/>
    <w:rsid w:val="00F4220F"/>
    <w:rsid w:val="00F43E52"/>
    <w:rsid w:val="00F451B3"/>
    <w:rsid w:val="00F628EA"/>
    <w:rsid w:val="00F62C72"/>
    <w:rsid w:val="00F630CA"/>
    <w:rsid w:val="00F71806"/>
    <w:rsid w:val="00F77985"/>
    <w:rsid w:val="00F93539"/>
    <w:rsid w:val="00F93F4C"/>
    <w:rsid w:val="00F96500"/>
    <w:rsid w:val="00F97CCE"/>
    <w:rsid w:val="00F97E06"/>
    <w:rsid w:val="00FB1E3F"/>
    <w:rsid w:val="00FB2B28"/>
    <w:rsid w:val="00FB3D3C"/>
    <w:rsid w:val="00FB53D3"/>
    <w:rsid w:val="00FB72FD"/>
    <w:rsid w:val="00FC1CB5"/>
    <w:rsid w:val="00FC1DF2"/>
    <w:rsid w:val="00FC7D13"/>
    <w:rsid w:val="00FD39EB"/>
    <w:rsid w:val="00FD719D"/>
    <w:rsid w:val="00FE1838"/>
    <w:rsid w:val="00FF39E9"/>
    <w:rsid w:val="00FF4276"/>
    <w:rsid w:val="00FF66E3"/>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4"/>
    <o:shapelayout v:ext="edit">
      <o:idmap v:ext="edit" data="1"/>
    </o:shapelayout>
  </w:shapeDefaults>
  <w:decimalSymbol w:val=","/>
  <w:listSeparator w:val=";"/>
  <w14:docId w14:val="7CAF5964"/>
  <w15:docId w15:val="{77293C31-20F4-4B04-B002-B1D0BB571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5B1F41"/>
    <w:rPr>
      <w:sz w:val="24"/>
      <w:lang w:eastAsia="cs-CZ"/>
    </w:rPr>
  </w:style>
  <w:style w:type="paragraph" w:styleId="Nadpis1">
    <w:name w:val="heading 1"/>
    <w:basedOn w:val="Normlny"/>
    <w:next w:val="Normlny"/>
    <w:qFormat/>
    <w:rsid w:val="005B1F41"/>
    <w:pPr>
      <w:keepNext/>
      <w:spacing w:line="360" w:lineRule="auto"/>
      <w:jc w:val="both"/>
      <w:outlineLvl w:val="0"/>
    </w:pPr>
    <w:rPr>
      <w:rFonts w:ascii="Bookman Old Style" w:hAnsi="Bookman Old Style"/>
    </w:rPr>
  </w:style>
  <w:style w:type="paragraph" w:styleId="Nadpis2">
    <w:name w:val="heading 2"/>
    <w:basedOn w:val="Normlny"/>
    <w:next w:val="Normlny"/>
    <w:qFormat/>
    <w:rsid w:val="005B1F41"/>
    <w:pPr>
      <w:keepNext/>
      <w:spacing w:line="360" w:lineRule="auto"/>
      <w:outlineLvl w:val="1"/>
    </w:pPr>
  </w:style>
  <w:style w:type="paragraph" w:styleId="Nadpis3">
    <w:name w:val="heading 3"/>
    <w:basedOn w:val="Normlny"/>
    <w:next w:val="Normlny"/>
    <w:qFormat/>
    <w:rsid w:val="005B1F41"/>
    <w:pPr>
      <w:keepNext/>
      <w:spacing w:line="360" w:lineRule="auto"/>
      <w:jc w:val="both"/>
      <w:outlineLvl w:val="2"/>
    </w:pPr>
    <w:rPr>
      <w:b/>
      <w:sz w:val="28"/>
    </w:rPr>
  </w:style>
  <w:style w:type="paragraph" w:styleId="Nadpis4">
    <w:name w:val="heading 4"/>
    <w:basedOn w:val="Normlny"/>
    <w:next w:val="Normlny"/>
    <w:link w:val="Nadpis4Char"/>
    <w:uiPriority w:val="9"/>
    <w:semiHidden/>
    <w:unhideWhenUsed/>
    <w:qFormat/>
    <w:rsid w:val="00F630CA"/>
    <w:pPr>
      <w:keepNext/>
      <w:keepLines/>
      <w:spacing w:before="200"/>
      <w:outlineLvl w:val="3"/>
    </w:pPr>
    <w:rPr>
      <w:rFonts w:asciiTheme="majorHAnsi" w:eastAsiaTheme="majorEastAsia" w:hAnsiTheme="majorHAnsi" w:cstheme="majorBidi"/>
      <w:b/>
      <w:bCs/>
      <w:i/>
      <w:iCs/>
      <w:color w:val="4F81BD" w:themeColor="accent1"/>
    </w:rPr>
  </w:style>
  <w:style w:type="paragraph" w:styleId="Nadpis5">
    <w:name w:val="heading 5"/>
    <w:basedOn w:val="Normlny"/>
    <w:next w:val="Normlny"/>
    <w:qFormat/>
    <w:rsid w:val="005B1F41"/>
    <w:pPr>
      <w:keepNext/>
      <w:outlineLvl w:val="4"/>
    </w:pPr>
    <w:rPr>
      <w:rFonts w:ascii="Arial" w:hAnsi="Arial"/>
      <w:color w:val="FF0000"/>
      <w:sz w:val="2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sloriadka">
    <w:name w:val="line number"/>
    <w:basedOn w:val="Predvolenpsmoodseku"/>
    <w:rsid w:val="005B1F41"/>
  </w:style>
  <w:style w:type="paragraph" w:styleId="Pta">
    <w:name w:val="footer"/>
    <w:basedOn w:val="Normlny"/>
    <w:link w:val="PtaChar"/>
    <w:rsid w:val="005B1F41"/>
    <w:pPr>
      <w:tabs>
        <w:tab w:val="center" w:pos="4536"/>
        <w:tab w:val="right" w:pos="9072"/>
      </w:tabs>
    </w:pPr>
  </w:style>
  <w:style w:type="character" w:styleId="slostrany">
    <w:name w:val="page number"/>
    <w:basedOn w:val="Predvolenpsmoodseku"/>
    <w:rsid w:val="005B1F41"/>
  </w:style>
  <w:style w:type="paragraph" w:styleId="Hlavika">
    <w:name w:val="header"/>
    <w:basedOn w:val="Normlny"/>
    <w:link w:val="HlavikaChar"/>
    <w:rsid w:val="005B1F41"/>
    <w:pPr>
      <w:tabs>
        <w:tab w:val="center" w:pos="4536"/>
        <w:tab w:val="right" w:pos="9072"/>
      </w:tabs>
    </w:pPr>
  </w:style>
  <w:style w:type="paragraph" w:styleId="Nzov">
    <w:name w:val="Title"/>
    <w:basedOn w:val="Normlny"/>
    <w:qFormat/>
    <w:rsid w:val="005B1F41"/>
    <w:pPr>
      <w:pBdr>
        <w:top w:val="single" w:sz="6" w:space="1" w:color="auto"/>
        <w:left w:val="single" w:sz="6" w:space="1" w:color="auto"/>
        <w:bottom w:val="single" w:sz="6" w:space="1" w:color="auto"/>
        <w:right w:val="single" w:sz="6" w:space="1" w:color="auto"/>
      </w:pBdr>
      <w:shd w:val="pct10" w:color="auto" w:fill="auto"/>
      <w:jc w:val="center"/>
    </w:pPr>
    <w:rPr>
      <w:b/>
      <w:sz w:val="28"/>
    </w:rPr>
  </w:style>
  <w:style w:type="paragraph" w:styleId="Zkladntext">
    <w:name w:val="Body Text"/>
    <w:basedOn w:val="Normlny"/>
    <w:rsid w:val="005B1F41"/>
    <w:pPr>
      <w:jc w:val="both"/>
    </w:pPr>
    <w:rPr>
      <w:rFonts w:ascii="Bookman Old Style" w:hAnsi="Bookman Old Style"/>
    </w:rPr>
  </w:style>
  <w:style w:type="paragraph" w:customStyle="1" w:styleId="Zkladntext21">
    <w:name w:val="Základný text 21"/>
    <w:basedOn w:val="Normlny"/>
    <w:rsid w:val="005B1F41"/>
    <w:pPr>
      <w:spacing w:line="360" w:lineRule="auto"/>
      <w:jc w:val="both"/>
    </w:pPr>
    <w:rPr>
      <w:rFonts w:ascii="Bookman Old Style" w:hAnsi="Bookman Old Style"/>
      <w:b/>
    </w:rPr>
  </w:style>
  <w:style w:type="paragraph" w:customStyle="1" w:styleId="Zkladntext31">
    <w:name w:val="Základný text 31"/>
    <w:basedOn w:val="Normlny"/>
    <w:rsid w:val="005B1F41"/>
    <w:pPr>
      <w:spacing w:line="360" w:lineRule="auto"/>
      <w:jc w:val="both"/>
    </w:pPr>
    <w:rPr>
      <w:rFonts w:ascii="Bookman Old Style" w:hAnsi="Bookman Old Style"/>
      <w:u w:val="single"/>
    </w:rPr>
  </w:style>
  <w:style w:type="paragraph" w:customStyle="1" w:styleId="pavel">
    <w:name w:val="pavel"/>
    <w:basedOn w:val="Normlny"/>
    <w:rsid w:val="005B1F41"/>
    <w:pPr>
      <w:spacing w:line="360" w:lineRule="auto"/>
      <w:jc w:val="both"/>
    </w:pPr>
    <w:rPr>
      <w:rFonts w:ascii="Arial" w:hAnsi="Arial"/>
      <w:spacing w:val="4"/>
      <w:szCs w:val="24"/>
    </w:rPr>
  </w:style>
  <w:style w:type="paragraph" w:styleId="Zarkazkladnhotextu">
    <w:name w:val="Body Text Indent"/>
    <w:basedOn w:val="Normlny"/>
    <w:rsid w:val="005B1F41"/>
    <w:pPr>
      <w:spacing w:after="120"/>
      <w:ind w:left="283"/>
    </w:pPr>
  </w:style>
  <w:style w:type="paragraph" w:customStyle="1" w:styleId="WW-Seznam4">
    <w:name w:val="WW-Seznam 4"/>
    <w:basedOn w:val="Normlny"/>
    <w:rsid w:val="005B1F41"/>
    <w:pPr>
      <w:ind w:left="1132" w:hanging="283"/>
    </w:pPr>
    <w:rPr>
      <w:sz w:val="20"/>
      <w:lang w:eastAsia="ar-SA"/>
    </w:rPr>
  </w:style>
  <w:style w:type="paragraph" w:styleId="Pokraovaniezoznamu4">
    <w:name w:val="List Continue 4"/>
    <w:basedOn w:val="Normlny"/>
    <w:rsid w:val="005B1F41"/>
    <w:pPr>
      <w:suppressAutoHyphens/>
      <w:spacing w:after="120"/>
      <w:ind w:left="1132"/>
    </w:pPr>
    <w:rPr>
      <w:sz w:val="20"/>
      <w:lang w:eastAsia="ar-SA"/>
    </w:rPr>
  </w:style>
  <w:style w:type="paragraph" w:styleId="Zarkazkladnhotextu2">
    <w:name w:val="Body Text Indent 2"/>
    <w:basedOn w:val="Normlny"/>
    <w:rsid w:val="005B1F41"/>
    <w:pPr>
      <w:numPr>
        <w:ilvl w:val="12"/>
      </w:numPr>
      <w:ind w:firstLine="284"/>
      <w:jc w:val="both"/>
    </w:pPr>
    <w:rPr>
      <w:rFonts w:ascii="Arial" w:hAnsi="Arial" w:cs="Arial"/>
    </w:rPr>
  </w:style>
  <w:style w:type="paragraph" w:styleId="Textbubliny">
    <w:name w:val="Balloon Text"/>
    <w:basedOn w:val="Normlny"/>
    <w:link w:val="TextbublinyChar"/>
    <w:uiPriority w:val="99"/>
    <w:semiHidden/>
    <w:unhideWhenUsed/>
    <w:rsid w:val="001F3E91"/>
    <w:rPr>
      <w:rFonts w:ascii="Tahoma" w:hAnsi="Tahoma" w:cs="Tahoma"/>
      <w:sz w:val="16"/>
      <w:szCs w:val="16"/>
    </w:rPr>
  </w:style>
  <w:style w:type="character" w:customStyle="1" w:styleId="TextbublinyChar">
    <w:name w:val="Text bubliny Char"/>
    <w:basedOn w:val="Predvolenpsmoodseku"/>
    <w:link w:val="Textbubliny"/>
    <w:uiPriority w:val="99"/>
    <w:semiHidden/>
    <w:rsid w:val="001F3E91"/>
    <w:rPr>
      <w:rFonts w:ascii="Tahoma" w:hAnsi="Tahoma" w:cs="Tahoma"/>
      <w:sz w:val="16"/>
      <w:szCs w:val="16"/>
      <w:lang w:eastAsia="cs-CZ"/>
    </w:rPr>
  </w:style>
  <w:style w:type="character" w:customStyle="1" w:styleId="formtext">
    <w:name w:val="formtext"/>
    <w:basedOn w:val="Predvolenpsmoodseku"/>
    <w:rsid w:val="00C754BD"/>
  </w:style>
  <w:style w:type="character" w:styleId="Zstupntext">
    <w:name w:val="Placeholder Text"/>
    <w:basedOn w:val="Predvolenpsmoodseku"/>
    <w:uiPriority w:val="99"/>
    <w:semiHidden/>
    <w:rsid w:val="003608FF"/>
    <w:rPr>
      <w:color w:val="808080"/>
    </w:rPr>
  </w:style>
  <w:style w:type="table" w:styleId="Mriekatabuky">
    <w:name w:val="Table Grid"/>
    <w:basedOn w:val="Normlnatabuka"/>
    <w:uiPriority w:val="59"/>
    <w:rsid w:val="004771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ln1">
    <w:name w:val="normální1"/>
    <w:basedOn w:val="Normlny"/>
    <w:rsid w:val="00506446"/>
    <w:rPr>
      <w:lang w:eastAsia="sk-SK"/>
    </w:rPr>
  </w:style>
  <w:style w:type="paragraph" w:styleId="Zarkazkladnhotextu3">
    <w:name w:val="Body Text Indent 3"/>
    <w:basedOn w:val="Normlny"/>
    <w:link w:val="Zarkazkladnhotextu3Char"/>
    <w:uiPriority w:val="99"/>
    <w:semiHidden/>
    <w:unhideWhenUsed/>
    <w:rsid w:val="0015094C"/>
    <w:pPr>
      <w:spacing w:after="120"/>
      <w:ind w:left="283"/>
    </w:pPr>
    <w:rPr>
      <w:sz w:val="16"/>
      <w:szCs w:val="16"/>
    </w:rPr>
  </w:style>
  <w:style w:type="character" w:customStyle="1" w:styleId="Zarkazkladnhotextu3Char">
    <w:name w:val="Zarážka základného textu 3 Char"/>
    <w:basedOn w:val="Predvolenpsmoodseku"/>
    <w:link w:val="Zarkazkladnhotextu3"/>
    <w:uiPriority w:val="99"/>
    <w:semiHidden/>
    <w:rsid w:val="0015094C"/>
    <w:rPr>
      <w:sz w:val="16"/>
      <w:szCs w:val="16"/>
      <w:lang w:eastAsia="cs-CZ"/>
    </w:rPr>
  </w:style>
  <w:style w:type="paragraph" w:customStyle="1" w:styleId="Text">
    <w:name w:val="Text"/>
    <w:basedOn w:val="Normlny"/>
    <w:rsid w:val="0015094C"/>
    <w:pPr>
      <w:ind w:firstLine="510"/>
    </w:pPr>
    <w:rPr>
      <w:sz w:val="20"/>
    </w:rPr>
  </w:style>
  <w:style w:type="character" w:customStyle="1" w:styleId="PtaChar">
    <w:name w:val="Päta Char"/>
    <w:basedOn w:val="Predvolenpsmoodseku"/>
    <w:link w:val="Pta"/>
    <w:rsid w:val="00BF01E6"/>
    <w:rPr>
      <w:sz w:val="24"/>
      <w:lang w:eastAsia="cs-CZ"/>
    </w:rPr>
  </w:style>
  <w:style w:type="character" w:customStyle="1" w:styleId="Nadpis4Char">
    <w:name w:val="Nadpis 4 Char"/>
    <w:basedOn w:val="Predvolenpsmoodseku"/>
    <w:link w:val="Nadpis4"/>
    <w:uiPriority w:val="9"/>
    <w:semiHidden/>
    <w:rsid w:val="00F630CA"/>
    <w:rPr>
      <w:rFonts w:asciiTheme="majorHAnsi" w:eastAsiaTheme="majorEastAsia" w:hAnsiTheme="majorHAnsi" w:cstheme="majorBidi"/>
      <w:b/>
      <w:bCs/>
      <w:i/>
      <w:iCs/>
      <w:color w:val="4F81BD" w:themeColor="accent1"/>
      <w:sz w:val="24"/>
      <w:lang w:eastAsia="cs-CZ"/>
    </w:rPr>
  </w:style>
  <w:style w:type="paragraph" w:styleId="PredformtovanHTML">
    <w:name w:val="HTML Preformatted"/>
    <w:basedOn w:val="Normlny"/>
    <w:link w:val="PredformtovanHTMLChar"/>
    <w:uiPriority w:val="99"/>
    <w:semiHidden/>
    <w:unhideWhenUsed/>
    <w:rsid w:val="00F630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EastAsia" w:hAnsi="Courier New" w:cs="Courier New"/>
      <w:sz w:val="20"/>
      <w:lang w:eastAsia="sk-SK"/>
    </w:rPr>
  </w:style>
  <w:style w:type="character" w:customStyle="1" w:styleId="PredformtovanHTMLChar">
    <w:name w:val="Predformátované HTML Char"/>
    <w:basedOn w:val="Predvolenpsmoodseku"/>
    <w:link w:val="PredformtovanHTML"/>
    <w:uiPriority w:val="99"/>
    <w:semiHidden/>
    <w:rsid w:val="00F630CA"/>
    <w:rPr>
      <w:rFonts w:ascii="Courier New" w:eastAsiaTheme="minorEastAsia" w:hAnsi="Courier New" w:cs="Courier New"/>
    </w:rPr>
  </w:style>
  <w:style w:type="character" w:styleId="Vrazn">
    <w:name w:val="Strong"/>
    <w:basedOn w:val="Predvolenpsmoodseku"/>
    <w:uiPriority w:val="22"/>
    <w:qFormat/>
    <w:rsid w:val="00F630CA"/>
    <w:rPr>
      <w:b/>
      <w:bCs/>
    </w:rPr>
  </w:style>
  <w:style w:type="paragraph" w:styleId="Odsekzoznamu">
    <w:name w:val="List Paragraph"/>
    <w:basedOn w:val="Normlny"/>
    <w:uiPriority w:val="34"/>
    <w:qFormat/>
    <w:rsid w:val="00E40A7C"/>
    <w:pPr>
      <w:ind w:left="720"/>
      <w:contextualSpacing/>
    </w:pPr>
  </w:style>
  <w:style w:type="character" w:customStyle="1" w:styleId="HlavikaChar">
    <w:name w:val="Hlavička Char"/>
    <w:basedOn w:val="Predvolenpsmoodseku"/>
    <w:link w:val="Hlavika"/>
    <w:rsid w:val="005D277D"/>
    <w:rPr>
      <w:sz w:val="24"/>
      <w:lang w:eastAsia="cs-CZ"/>
    </w:rPr>
  </w:style>
  <w:style w:type="character" w:styleId="Hypertextovprepojenie">
    <w:name w:val="Hyperlink"/>
    <w:basedOn w:val="Predvolenpsmoodseku"/>
    <w:uiPriority w:val="99"/>
    <w:unhideWhenUsed/>
    <w:rsid w:val="00A91E39"/>
    <w:rPr>
      <w:color w:val="0000FF" w:themeColor="hyperlink"/>
      <w:u w:val="single"/>
    </w:rPr>
  </w:style>
  <w:style w:type="character" w:customStyle="1" w:styleId="Nevyrieenzmienka1">
    <w:name w:val="Nevyriešená zmienka1"/>
    <w:basedOn w:val="Predvolenpsmoodseku"/>
    <w:uiPriority w:val="99"/>
    <w:semiHidden/>
    <w:unhideWhenUsed/>
    <w:rsid w:val="00A91E39"/>
    <w:rPr>
      <w:color w:val="605E5C"/>
      <w:shd w:val="clear" w:color="auto" w:fill="E1DFDD"/>
    </w:rPr>
  </w:style>
  <w:style w:type="character" w:customStyle="1" w:styleId="Nevyrieenzmienka2">
    <w:name w:val="Nevyriešená zmienka2"/>
    <w:basedOn w:val="Predvolenpsmoodseku"/>
    <w:uiPriority w:val="99"/>
    <w:semiHidden/>
    <w:unhideWhenUsed/>
    <w:rsid w:val="00134A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350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4E5D5D-351C-47CD-8EDA-E6D33F70D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2979</TotalTime>
  <Pages>4</Pages>
  <Words>1632</Words>
  <Characters>9303</Characters>
  <Application>Microsoft Office Word</Application>
  <DocSecurity>0</DocSecurity>
  <Lines>77</Lines>
  <Paragraphs>21</Paragraphs>
  <ScaleCrop>false</ScaleCrop>
  <HeadingPairs>
    <vt:vector size="2" baseType="variant">
      <vt:variant>
        <vt:lpstr>Názov</vt:lpstr>
      </vt:variant>
      <vt:variant>
        <vt:i4>1</vt:i4>
      </vt:variant>
    </vt:vector>
  </HeadingPairs>
  <TitlesOfParts>
    <vt:vector size="1" baseType="lpstr">
      <vt:lpstr>T E C H N I C K Á   S P R Á V A</vt:lpstr>
    </vt:vector>
  </TitlesOfParts>
  <Company/>
  <LinksUpToDate>false</LinksUpToDate>
  <CharactersWithSpaces>10914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E C H N I C K Á   S P R Á V A</dc:title>
  <cp:lastModifiedBy>Proletar</cp:lastModifiedBy>
  <cp:revision>56</cp:revision>
  <cp:lastPrinted>2021-10-22T02:26:00Z</cp:lastPrinted>
  <dcterms:created xsi:type="dcterms:W3CDTF">2014-03-04T12:59:00Z</dcterms:created>
  <dcterms:modified xsi:type="dcterms:W3CDTF">2024-02-10T12:45:00Z</dcterms:modified>
</cp:coreProperties>
</file>